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417" w:rsidRDefault="002D7417" w:rsidP="00FA1ED3">
      <w:pPr>
        <w:ind w:right="1274"/>
        <w:jc w:val="both"/>
        <w:rPr>
          <w:rFonts w:ascii="Tahoma" w:hAnsi="Tahoma" w:cs="Tahoma"/>
          <w:b/>
          <w:i/>
          <w:sz w:val="22"/>
          <w:szCs w:val="22"/>
        </w:rPr>
      </w:pPr>
    </w:p>
    <w:p w:rsidR="00975E90" w:rsidRPr="00975E90" w:rsidRDefault="00975E90" w:rsidP="00975E90">
      <w:pPr>
        <w:ind w:left="2835" w:right="1274" w:hanging="1418"/>
        <w:jc w:val="both"/>
        <w:rPr>
          <w:rFonts w:ascii="Tahoma" w:hAnsi="Tahoma" w:cs="Tahoma"/>
          <w:i/>
          <w:color w:val="010101"/>
          <w:sz w:val="22"/>
          <w:szCs w:val="22"/>
        </w:rPr>
      </w:pPr>
      <w:r w:rsidRPr="00975E90">
        <w:rPr>
          <w:rFonts w:ascii="Tahoma" w:hAnsi="Tahoma" w:cs="Tahoma"/>
          <w:b/>
          <w:i/>
          <w:sz w:val="22"/>
          <w:szCs w:val="22"/>
        </w:rPr>
        <w:t>Sumilla:</w:t>
      </w:r>
      <w:r w:rsidRPr="00975E90">
        <w:rPr>
          <w:rFonts w:ascii="Tahoma" w:hAnsi="Tahoma" w:cs="Tahoma"/>
          <w:i/>
          <w:sz w:val="22"/>
          <w:szCs w:val="22"/>
        </w:rPr>
        <w:t xml:space="preserve"> </w:t>
      </w:r>
      <w:r w:rsidRPr="00975E90">
        <w:rPr>
          <w:rFonts w:ascii="Tahoma" w:hAnsi="Tahoma" w:cs="Tahoma"/>
          <w:i/>
          <w:sz w:val="22"/>
          <w:szCs w:val="22"/>
        </w:rPr>
        <w:tab/>
      </w:r>
      <w:r w:rsidRPr="00975E90">
        <w:rPr>
          <w:rFonts w:ascii="Tahoma" w:hAnsi="Tahoma" w:cs="Tahoma"/>
          <w:i/>
          <w:color w:val="010101"/>
          <w:sz w:val="22"/>
          <w:szCs w:val="22"/>
        </w:rPr>
        <w:t>“</w:t>
      </w:r>
      <w:r w:rsidRPr="00975E90">
        <w:rPr>
          <w:rFonts w:ascii="Tahoma" w:hAnsi="Tahoma" w:cs="Tahoma"/>
          <w:i/>
          <w:sz w:val="22"/>
          <w:szCs w:val="22"/>
        </w:rPr>
        <w:t>Es infundado el recurso de reconsideración que no logra rebatir los fundamentos expuestos en la recurrida para imponer la sanción administrativa correspondiente</w:t>
      </w:r>
      <w:r w:rsidRPr="00975E90">
        <w:rPr>
          <w:rFonts w:ascii="Tahoma" w:hAnsi="Tahoma" w:cs="Tahoma"/>
          <w:i/>
          <w:color w:val="010101"/>
          <w:sz w:val="22"/>
          <w:szCs w:val="22"/>
        </w:rPr>
        <w:t>”</w:t>
      </w:r>
    </w:p>
    <w:p w:rsidR="00975E90" w:rsidRPr="00975E90" w:rsidRDefault="00975E90" w:rsidP="00975E90">
      <w:pPr>
        <w:pStyle w:val="Textoindependiente3"/>
        <w:spacing w:after="0"/>
        <w:rPr>
          <w:rFonts w:ascii="Tahoma" w:hAnsi="Tahoma" w:cs="Tahoma"/>
          <w:i/>
          <w:sz w:val="22"/>
          <w:szCs w:val="22"/>
          <w:lang w:val="es-ES"/>
        </w:rPr>
      </w:pPr>
    </w:p>
    <w:p w:rsidR="00975E90" w:rsidRPr="00975E90" w:rsidRDefault="00975E90" w:rsidP="00975E90">
      <w:pPr>
        <w:pStyle w:val="Textoindependiente3"/>
        <w:spacing w:after="0"/>
        <w:ind w:left="5387"/>
        <w:jc w:val="both"/>
        <w:rPr>
          <w:rFonts w:ascii="Tahoma" w:hAnsi="Tahoma" w:cs="Tahoma"/>
          <w:b/>
          <w:sz w:val="22"/>
          <w:szCs w:val="22"/>
        </w:rPr>
      </w:pPr>
      <w:r w:rsidRPr="00975E90">
        <w:rPr>
          <w:rFonts w:ascii="Tahoma" w:hAnsi="Tahoma" w:cs="Tahoma"/>
          <w:b/>
          <w:sz w:val="22"/>
          <w:szCs w:val="22"/>
        </w:rPr>
        <w:t>Lima,</w:t>
      </w:r>
      <w:r w:rsidR="002D7417">
        <w:rPr>
          <w:rFonts w:ascii="Tahoma" w:hAnsi="Tahoma" w:cs="Tahoma"/>
          <w:b/>
          <w:sz w:val="22"/>
          <w:szCs w:val="22"/>
        </w:rPr>
        <w:t xml:space="preserve"> 28 de Enero de 2011</w:t>
      </w:r>
    </w:p>
    <w:p w:rsidR="00975E90" w:rsidRPr="00975E90" w:rsidRDefault="00975E90" w:rsidP="00975E90">
      <w:pPr>
        <w:pStyle w:val="Textoindependiente3"/>
        <w:spacing w:after="0"/>
        <w:ind w:left="5387"/>
        <w:jc w:val="both"/>
        <w:rPr>
          <w:rFonts w:ascii="Tahoma" w:hAnsi="Tahoma" w:cs="Tahoma"/>
          <w:b/>
          <w:sz w:val="22"/>
          <w:szCs w:val="22"/>
        </w:rPr>
      </w:pPr>
    </w:p>
    <w:p w:rsidR="00975E90" w:rsidRPr="00975E90" w:rsidRDefault="00975E90" w:rsidP="00975E90">
      <w:pPr>
        <w:ind w:firstLine="567"/>
        <w:jc w:val="both"/>
        <w:rPr>
          <w:rFonts w:ascii="Tahoma" w:hAnsi="Tahoma" w:cs="Tahoma"/>
          <w:sz w:val="22"/>
          <w:szCs w:val="22"/>
        </w:rPr>
      </w:pPr>
      <w:r w:rsidRPr="00975E90">
        <w:rPr>
          <w:rFonts w:ascii="Tahoma" w:hAnsi="Tahoma" w:cs="Tahoma"/>
          <w:b/>
          <w:sz w:val="22"/>
          <w:szCs w:val="22"/>
        </w:rPr>
        <w:t xml:space="preserve">Visto </w:t>
      </w:r>
      <w:r>
        <w:rPr>
          <w:rFonts w:ascii="Tahoma" w:hAnsi="Tahoma" w:cs="Tahoma"/>
          <w:sz w:val="22"/>
          <w:szCs w:val="22"/>
        </w:rPr>
        <w:t>en sesión de fecha 28 de enero de 2011</w:t>
      </w:r>
      <w:r w:rsidRPr="00975E90">
        <w:rPr>
          <w:rFonts w:ascii="Tahoma" w:hAnsi="Tahoma" w:cs="Tahoma"/>
          <w:sz w:val="22"/>
          <w:szCs w:val="22"/>
        </w:rPr>
        <w:t xml:space="preserve"> la Primera Sala del Tribunal de Contrataciones </w:t>
      </w:r>
      <w:r>
        <w:rPr>
          <w:rFonts w:ascii="Tahoma" w:hAnsi="Tahoma" w:cs="Tahoma"/>
          <w:sz w:val="22"/>
          <w:szCs w:val="22"/>
        </w:rPr>
        <w:t>del Estado el Expediente N° 2385-2009</w:t>
      </w:r>
      <w:r w:rsidRPr="00975E90">
        <w:rPr>
          <w:rFonts w:ascii="Tahoma" w:hAnsi="Tahoma" w:cs="Tahoma"/>
          <w:sz w:val="22"/>
          <w:szCs w:val="22"/>
        </w:rPr>
        <w:t xml:space="preserve">-TC sobre el recurso de reconsideración interpuesto por la empresa AGROINDUSTRIA SANTA MARIA S.A.C. contra la Resolución </w:t>
      </w:r>
      <w:r w:rsidRPr="00975E90">
        <w:rPr>
          <w:rFonts w:ascii="Tahoma" w:hAnsi="Tahoma" w:cs="Tahoma"/>
          <w:color w:val="000000" w:themeColor="text1"/>
          <w:sz w:val="22"/>
          <w:szCs w:val="22"/>
        </w:rPr>
        <w:t>Nº</w:t>
      </w:r>
      <w:r w:rsidRPr="00975E90">
        <w:rPr>
          <w:rFonts w:ascii="Tahoma" w:hAnsi="Tahoma" w:cs="Tahoma"/>
          <w:sz w:val="22"/>
          <w:szCs w:val="22"/>
        </w:rPr>
        <w:t xml:space="preserve"> 2395-2010-TC-S1 de fecha 28 de diciembre de 2010. </w:t>
      </w:r>
    </w:p>
    <w:p w:rsidR="00975E90" w:rsidRPr="00975E90" w:rsidRDefault="00975E90" w:rsidP="00975E90">
      <w:pPr>
        <w:tabs>
          <w:tab w:val="left" w:pos="1985"/>
        </w:tabs>
        <w:spacing w:line="206" w:lineRule="auto"/>
        <w:ind w:firstLine="426"/>
        <w:jc w:val="both"/>
        <w:rPr>
          <w:rFonts w:ascii="Tahoma" w:hAnsi="Tahoma" w:cs="Tahoma"/>
          <w:b/>
          <w:sz w:val="22"/>
          <w:szCs w:val="22"/>
        </w:rPr>
      </w:pPr>
    </w:p>
    <w:p w:rsidR="00975E90" w:rsidRPr="00975E90" w:rsidRDefault="00975E90" w:rsidP="00975E90">
      <w:pPr>
        <w:pStyle w:val="Prrafodelista"/>
        <w:numPr>
          <w:ilvl w:val="0"/>
          <w:numId w:val="1"/>
        </w:numPr>
        <w:ind w:left="567" w:hanging="425"/>
        <w:rPr>
          <w:rFonts w:ascii="Tahoma" w:hAnsi="Tahoma" w:cs="Tahoma"/>
          <w:b/>
          <w:sz w:val="22"/>
          <w:szCs w:val="22"/>
        </w:rPr>
      </w:pPr>
      <w:r w:rsidRPr="00975E90">
        <w:rPr>
          <w:rFonts w:ascii="Tahoma" w:hAnsi="Tahoma" w:cs="Tahoma"/>
          <w:b/>
          <w:sz w:val="22"/>
          <w:szCs w:val="22"/>
        </w:rPr>
        <w:t>ANTECEDENTES:</w:t>
      </w:r>
    </w:p>
    <w:p w:rsidR="00975E90" w:rsidRPr="00975E90" w:rsidRDefault="00975E90" w:rsidP="00975E90">
      <w:pPr>
        <w:jc w:val="both"/>
        <w:rPr>
          <w:rFonts w:ascii="Tahoma" w:hAnsi="Tahoma" w:cs="Tahoma"/>
          <w:b/>
          <w:sz w:val="22"/>
          <w:szCs w:val="22"/>
          <w:lang w:eastAsia="es-PE"/>
        </w:rPr>
      </w:pPr>
    </w:p>
    <w:p w:rsidR="00975E90" w:rsidRPr="00975E90" w:rsidRDefault="00975E90" w:rsidP="00975E90">
      <w:pPr>
        <w:pStyle w:val="Prrafodelista"/>
        <w:widowControl/>
        <w:numPr>
          <w:ilvl w:val="0"/>
          <w:numId w:val="11"/>
        </w:numPr>
        <w:suppressAutoHyphens w:val="0"/>
        <w:ind w:left="567" w:hanging="567"/>
        <w:contextualSpacing/>
        <w:jc w:val="both"/>
        <w:rPr>
          <w:rFonts w:ascii="Tahoma" w:hAnsi="Tahoma" w:cs="Tahoma"/>
          <w:sz w:val="22"/>
          <w:szCs w:val="22"/>
        </w:rPr>
      </w:pPr>
      <w:r w:rsidRPr="00975E90">
        <w:rPr>
          <w:rFonts w:ascii="Tahoma" w:hAnsi="Tahoma" w:cs="Tahoma"/>
          <w:sz w:val="22"/>
          <w:szCs w:val="22"/>
        </w:rPr>
        <w:t>El 03 de junio de 2009, la MUNICIPALIDAD DE INDEPENDENCIA, en lo sucesivo la Entidad, convocó a la Exoneración Nº 0002-2009-MDI-UL, por relación de ítems, para la “Adquisición insumos para el programa del vaso de leche”, por un valor referencial ascendente a S/. 885,682.72 (Ochocientos ochenta y cinco mil seiscientos ochenta y dos con 72/100 Nuevos Soles).</w:t>
      </w:r>
    </w:p>
    <w:p w:rsidR="00975E90" w:rsidRPr="00975E90" w:rsidRDefault="00975E90" w:rsidP="00975E90">
      <w:pPr>
        <w:pStyle w:val="Prrafodelista"/>
        <w:widowControl/>
        <w:suppressAutoHyphens w:val="0"/>
        <w:ind w:left="567"/>
        <w:contextualSpacing/>
        <w:jc w:val="both"/>
        <w:rPr>
          <w:rFonts w:ascii="Tahoma" w:hAnsi="Tahoma" w:cs="Tahoma"/>
          <w:sz w:val="22"/>
          <w:szCs w:val="22"/>
        </w:rPr>
      </w:pPr>
    </w:p>
    <w:p w:rsidR="00975E90" w:rsidRPr="00975E90" w:rsidRDefault="00975E90" w:rsidP="00975E90">
      <w:pPr>
        <w:pStyle w:val="Prrafodelista"/>
        <w:widowControl/>
        <w:suppressAutoHyphens w:val="0"/>
        <w:ind w:left="567"/>
        <w:contextualSpacing/>
        <w:jc w:val="both"/>
        <w:rPr>
          <w:rFonts w:ascii="Tahoma" w:hAnsi="Tahoma" w:cs="Tahoma"/>
          <w:sz w:val="22"/>
          <w:szCs w:val="22"/>
        </w:rPr>
      </w:pPr>
      <w:r w:rsidRPr="00975E90">
        <w:rPr>
          <w:rFonts w:ascii="Tahoma" w:hAnsi="Tahoma" w:cs="Tahoma"/>
          <w:sz w:val="22"/>
          <w:szCs w:val="22"/>
        </w:rPr>
        <w:t>Entre los insumos materia de convocatoria, se encontraba la adquisición de “HOJUELA DE QUINUA ENRIQUECIDA CON VITAMINAS Y MINERALES”, la misma que corresponde al ítem Nº 02 del acotado proceso de selección.</w:t>
      </w:r>
    </w:p>
    <w:p w:rsidR="00975E90" w:rsidRPr="00975E90" w:rsidRDefault="00975E90" w:rsidP="00975E90">
      <w:pPr>
        <w:pStyle w:val="Prrafodelista"/>
        <w:widowControl/>
        <w:suppressAutoHyphens w:val="0"/>
        <w:ind w:left="567"/>
        <w:contextualSpacing/>
        <w:jc w:val="both"/>
        <w:rPr>
          <w:rFonts w:ascii="Tahoma" w:hAnsi="Tahoma" w:cs="Tahoma"/>
          <w:sz w:val="22"/>
          <w:szCs w:val="22"/>
        </w:rPr>
      </w:pPr>
    </w:p>
    <w:p w:rsidR="00975E90" w:rsidRPr="00975E90" w:rsidRDefault="00975E90" w:rsidP="00975E90">
      <w:pPr>
        <w:pStyle w:val="Prrafodelista"/>
        <w:widowControl/>
        <w:numPr>
          <w:ilvl w:val="0"/>
          <w:numId w:val="11"/>
        </w:numPr>
        <w:suppressAutoHyphens w:val="0"/>
        <w:ind w:left="567" w:hanging="567"/>
        <w:contextualSpacing/>
        <w:jc w:val="both"/>
        <w:rPr>
          <w:rFonts w:ascii="Tahoma" w:hAnsi="Tahoma" w:cs="Tahoma"/>
          <w:sz w:val="22"/>
          <w:szCs w:val="22"/>
        </w:rPr>
      </w:pPr>
      <w:r w:rsidRPr="00975E90">
        <w:rPr>
          <w:rFonts w:ascii="Tahoma" w:hAnsi="Tahoma" w:cs="Tahoma"/>
          <w:sz w:val="22"/>
          <w:szCs w:val="22"/>
        </w:rPr>
        <w:t>Asimismo, en dicha fecha, también se llevó a cabo el acto de calificación de propuestas y otorgamiento de la Buena Pro, la misma que fue adjudicada, respecto al ítem Nº 02, a favor de la empresa AGROINDUSTRIA SANTA MARIA S.A.C., en adelante la Contratista.</w:t>
      </w:r>
    </w:p>
    <w:p w:rsidR="00975E90" w:rsidRPr="00975E90" w:rsidRDefault="00975E90" w:rsidP="00975E90">
      <w:pPr>
        <w:pStyle w:val="Prrafodelista"/>
        <w:widowControl/>
        <w:suppressAutoHyphens w:val="0"/>
        <w:ind w:left="567"/>
        <w:contextualSpacing/>
        <w:jc w:val="both"/>
        <w:rPr>
          <w:rFonts w:ascii="Tahoma" w:hAnsi="Tahoma" w:cs="Tahoma"/>
          <w:sz w:val="22"/>
          <w:szCs w:val="22"/>
        </w:rPr>
      </w:pPr>
    </w:p>
    <w:p w:rsidR="00975E90" w:rsidRPr="00975E90" w:rsidRDefault="00975E90" w:rsidP="00975E90">
      <w:pPr>
        <w:pStyle w:val="Prrafodelista"/>
        <w:widowControl/>
        <w:numPr>
          <w:ilvl w:val="0"/>
          <w:numId w:val="11"/>
        </w:numPr>
        <w:suppressAutoHyphens w:val="0"/>
        <w:ind w:left="567" w:hanging="567"/>
        <w:contextualSpacing/>
        <w:jc w:val="both"/>
        <w:rPr>
          <w:rFonts w:ascii="Tahoma" w:hAnsi="Tahoma" w:cs="Tahoma"/>
          <w:sz w:val="22"/>
          <w:szCs w:val="22"/>
        </w:rPr>
      </w:pPr>
      <w:r w:rsidRPr="00975E90">
        <w:rPr>
          <w:rFonts w:ascii="Tahoma" w:hAnsi="Tahoma" w:cs="Tahoma"/>
          <w:sz w:val="22"/>
          <w:szCs w:val="22"/>
        </w:rPr>
        <w:t>Con fecha 05 de junio de 2009, La Entidad y la Contratista suscribieron el Contrato Nº 001-2009-MDI-GA.</w:t>
      </w:r>
    </w:p>
    <w:p w:rsidR="00975E90" w:rsidRPr="00975E90" w:rsidRDefault="00975E90" w:rsidP="00975E90">
      <w:pPr>
        <w:pStyle w:val="Prrafodelista"/>
        <w:rPr>
          <w:rFonts w:ascii="Tahoma" w:hAnsi="Tahoma" w:cs="Tahoma"/>
          <w:sz w:val="22"/>
          <w:szCs w:val="22"/>
        </w:rPr>
      </w:pPr>
    </w:p>
    <w:p w:rsidR="00975E90" w:rsidRPr="00975E90" w:rsidRDefault="00975E90" w:rsidP="00975E90">
      <w:pPr>
        <w:pStyle w:val="Prrafodelista"/>
        <w:widowControl/>
        <w:numPr>
          <w:ilvl w:val="0"/>
          <w:numId w:val="11"/>
        </w:numPr>
        <w:suppressAutoHyphens w:val="0"/>
        <w:ind w:left="567" w:hanging="567"/>
        <w:contextualSpacing/>
        <w:jc w:val="both"/>
        <w:rPr>
          <w:rFonts w:ascii="Tahoma" w:hAnsi="Tahoma" w:cs="Tahoma"/>
          <w:sz w:val="22"/>
          <w:szCs w:val="22"/>
        </w:rPr>
      </w:pPr>
      <w:r w:rsidRPr="00975E90">
        <w:rPr>
          <w:rFonts w:ascii="Tahoma" w:hAnsi="Tahoma" w:cs="Tahoma"/>
          <w:sz w:val="22"/>
          <w:szCs w:val="22"/>
        </w:rPr>
        <w:t xml:space="preserve">A través del escrito presentado el 12 de noviembre de 2009, el señor Walter Espíritu Pizarro comunicó a este Tribunal de Contrataciones del Estado, en adelante el Tribunal, sobre las irregularidades que se habrían producido en la Exoneración Nº 02-2009/MDI/UL-Ítem Nº 02, por lo siguiente: </w:t>
      </w:r>
    </w:p>
    <w:p w:rsidR="00975E90" w:rsidRPr="00975E90" w:rsidRDefault="00975E90" w:rsidP="00975E90">
      <w:pPr>
        <w:rPr>
          <w:rFonts w:ascii="Tahoma" w:hAnsi="Tahoma" w:cs="Tahoma"/>
          <w:sz w:val="22"/>
          <w:szCs w:val="22"/>
        </w:rPr>
      </w:pPr>
    </w:p>
    <w:p w:rsidR="00975E90" w:rsidRPr="00975E90" w:rsidRDefault="00975E90" w:rsidP="00975E90">
      <w:pPr>
        <w:pStyle w:val="Prrafodelista"/>
        <w:widowControl/>
        <w:numPr>
          <w:ilvl w:val="0"/>
          <w:numId w:val="12"/>
        </w:numPr>
        <w:suppressAutoHyphens w:val="0"/>
        <w:ind w:left="1134" w:hanging="425"/>
        <w:contextualSpacing/>
        <w:jc w:val="both"/>
        <w:rPr>
          <w:rFonts w:ascii="Tahoma" w:hAnsi="Tahoma" w:cs="Tahoma"/>
          <w:sz w:val="22"/>
          <w:szCs w:val="22"/>
        </w:rPr>
      </w:pPr>
      <w:r w:rsidRPr="00975E90">
        <w:rPr>
          <w:rFonts w:ascii="Tahoma" w:hAnsi="Tahoma" w:cs="Tahoma"/>
          <w:sz w:val="22"/>
          <w:szCs w:val="22"/>
        </w:rPr>
        <w:t>La Contratista ha presentado una Declaración Jurada de ser Fabricante o Distribuidor del producto del ítem Nº 2 “Hojuela de Quinua Enriquecida con Cereales, Vitaminas y Minerales”, cuando realmente no es fabricante del referido producto.</w:t>
      </w:r>
    </w:p>
    <w:p w:rsidR="00975E90" w:rsidRPr="00975E90" w:rsidRDefault="00975E90" w:rsidP="00975E90">
      <w:pPr>
        <w:pStyle w:val="Prrafodelista"/>
        <w:widowControl/>
        <w:suppressAutoHyphens w:val="0"/>
        <w:ind w:left="1134" w:hanging="425"/>
        <w:contextualSpacing/>
        <w:jc w:val="both"/>
        <w:rPr>
          <w:rFonts w:ascii="Tahoma" w:hAnsi="Tahoma" w:cs="Tahoma"/>
          <w:sz w:val="22"/>
          <w:szCs w:val="22"/>
        </w:rPr>
      </w:pPr>
    </w:p>
    <w:p w:rsidR="00975E90" w:rsidRPr="00975E90" w:rsidRDefault="00975E90" w:rsidP="00975E90">
      <w:pPr>
        <w:pStyle w:val="Prrafodelista"/>
        <w:widowControl/>
        <w:numPr>
          <w:ilvl w:val="0"/>
          <w:numId w:val="12"/>
        </w:numPr>
        <w:suppressAutoHyphens w:val="0"/>
        <w:ind w:left="1134" w:hanging="425"/>
        <w:contextualSpacing/>
        <w:jc w:val="both"/>
        <w:rPr>
          <w:rFonts w:ascii="Tahoma" w:hAnsi="Tahoma" w:cs="Tahoma"/>
          <w:sz w:val="22"/>
          <w:szCs w:val="22"/>
        </w:rPr>
      </w:pPr>
      <w:r w:rsidRPr="00975E90">
        <w:rPr>
          <w:rFonts w:ascii="Tahoma" w:hAnsi="Tahoma" w:cs="Tahoma"/>
          <w:sz w:val="22"/>
          <w:szCs w:val="22"/>
        </w:rPr>
        <w:t xml:space="preserve">En efecto, se puede advertir que la Contratista incluyó dentro de su propuesta, una Declaración Jurada presentada ante DIGESA, en la cual </w:t>
      </w:r>
      <w:r w:rsidRPr="00975E90">
        <w:rPr>
          <w:rFonts w:ascii="Tahoma" w:hAnsi="Tahoma" w:cs="Tahoma"/>
          <w:sz w:val="22"/>
          <w:szCs w:val="22"/>
        </w:rPr>
        <w:lastRenderedPageBreak/>
        <w:t>señaló los 5 productos sujetos a Registro Sanitario; sin embargo, se adjunta como ANEXO 4, el producto Hojuelas de Cereales Enriquecidos con Vitaminas y Minerales, cuya composición es totalmente diferente al producto convocado, por lo que se demuestra un claro incumplimiento de las especificaciones técnicas de las Bases, razón por lo cual, debió declararse desierto dicho proceso.</w:t>
      </w:r>
    </w:p>
    <w:p w:rsidR="00975E90" w:rsidRPr="00975E90" w:rsidRDefault="00975E90" w:rsidP="00975E90">
      <w:pPr>
        <w:contextualSpacing/>
        <w:jc w:val="both"/>
        <w:rPr>
          <w:rFonts w:ascii="Tahoma" w:hAnsi="Tahoma" w:cs="Tahoma"/>
          <w:sz w:val="22"/>
          <w:szCs w:val="22"/>
        </w:rPr>
      </w:pPr>
    </w:p>
    <w:p w:rsidR="00975E90" w:rsidRPr="00975E90" w:rsidRDefault="00975E90" w:rsidP="00975E90">
      <w:pPr>
        <w:pStyle w:val="Prrafodelista"/>
        <w:widowControl/>
        <w:numPr>
          <w:ilvl w:val="0"/>
          <w:numId w:val="12"/>
        </w:numPr>
        <w:suppressAutoHyphens w:val="0"/>
        <w:ind w:left="1134" w:hanging="425"/>
        <w:contextualSpacing/>
        <w:jc w:val="both"/>
        <w:rPr>
          <w:rFonts w:ascii="Tahoma" w:hAnsi="Tahoma" w:cs="Tahoma"/>
          <w:sz w:val="22"/>
          <w:szCs w:val="22"/>
        </w:rPr>
      </w:pPr>
      <w:r w:rsidRPr="00975E90">
        <w:rPr>
          <w:rFonts w:ascii="Tahoma" w:hAnsi="Tahoma" w:cs="Tahoma"/>
          <w:sz w:val="22"/>
          <w:szCs w:val="22"/>
        </w:rPr>
        <w:t>Por otro lado, el producto que entregó la Contratista a la Entidad, si bien indica que es Hojuela de Quinua Enriquecida con Cereales, Vitaminas y Minerales, el Registro Sanitario Nº E5179408N/NAARSN que se consigna en la bolsa de dicho insumo, le pertenece al producto de Hojuelas de Cereales Enriquecida con Vitaminas y Minerales, es decir, dicho registro Sanitario no corresponde al producto convocado.</w:t>
      </w:r>
    </w:p>
    <w:p w:rsidR="00975E90" w:rsidRPr="00975E90" w:rsidRDefault="00975E90" w:rsidP="00975E90">
      <w:pPr>
        <w:pStyle w:val="Prrafodelista"/>
        <w:widowControl/>
        <w:suppressAutoHyphens w:val="0"/>
        <w:ind w:left="1134" w:hanging="425"/>
        <w:contextualSpacing/>
        <w:jc w:val="both"/>
        <w:rPr>
          <w:rFonts w:ascii="Tahoma" w:hAnsi="Tahoma" w:cs="Tahoma"/>
          <w:sz w:val="22"/>
          <w:szCs w:val="22"/>
        </w:rPr>
      </w:pPr>
    </w:p>
    <w:p w:rsidR="00975E90" w:rsidRPr="00975E90" w:rsidRDefault="00975E90" w:rsidP="00975E90">
      <w:pPr>
        <w:pStyle w:val="Prrafodelista"/>
        <w:widowControl/>
        <w:numPr>
          <w:ilvl w:val="0"/>
          <w:numId w:val="12"/>
        </w:numPr>
        <w:suppressAutoHyphens w:val="0"/>
        <w:ind w:left="1134" w:hanging="425"/>
        <w:contextualSpacing/>
        <w:jc w:val="both"/>
        <w:rPr>
          <w:rFonts w:ascii="Tahoma" w:hAnsi="Tahoma" w:cs="Tahoma"/>
          <w:sz w:val="22"/>
          <w:szCs w:val="22"/>
        </w:rPr>
      </w:pPr>
      <w:r w:rsidRPr="00975E90">
        <w:rPr>
          <w:rFonts w:ascii="Tahoma" w:hAnsi="Tahoma" w:cs="Tahoma"/>
          <w:sz w:val="22"/>
          <w:szCs w:val="22"/>
        </w:rPr>
        <w:t>Así también, se debe tener en cuenta que la Dirección General de Salud – DIGESA, ha indicado en el Oficio Nº 3033-2009/DG/DIGESA, que la Contratista no cuenta con registro sanitario para la comercialización del producto hojuela de quinua enriquecida con cereales, vitaminas y minerales; asimismo, se indicó que el registro sanitario E5719408N/NAARSN, corresponde al de Hojuelas de Cereales enriquecidos con vitaminas y minerales.</w:t>
      </w:r>
    </w:p>
    <w:p w:rsidR="00975E90" w:rsidRPr="00975E90" w:rsidRDefault="00975E90" w:rsidP="00975E90">
      <w:pPr>
        <w:pStyle w:val="Prrafodelista"/>
        <w:widowControl/>
        <w:suppressAutoHyphens w:val="0"/>
        <w:ind w:left="1134" w:hanging="425"/>
        <w:contextualSpacing/>
        <w:jc w:val="both"/>
        <w:rPr>
          <w:rFonts w:ascii="Tahoma" w:hAnsi="Tahoma" w:cs="Tahoma"/>
          <w:sz w:val="22"/>
          <w:szCs w:val="22"/>
        </w:rPr>
      </w:pPr>
    </w:p>
    <w:p w:rsidR="00975E90" w:rsidRPr="00975E90" w:rsidRDefault="00975E90" w:rsidP="00975E90">
      <w:pPr>
        <w:pStyle w:val="Prrafodelista"/>
        <w:widowControl/>
        <w:numPr>
          <w:ilvl w:val="0"/>
          <w:numId w:val="12"/>
        </w:numPr>
        <w:suppressAutoHyphens w:val="0"/>
        <w:ind w:left="1134" w:hanging="425"/>
        <w:contextualSpacing/>
        <w:jc w:val="both"/>
        <w:rPr>
          <w:rFonts w:ascii="Tahoma" w:hAnsi="Tahoma" w:cs="Tahoma"/>
          <w:sz w:val="22"/>
          <w:szCs w:val="22"/>
        </w:rPr>
      </w:pPr>
      <w:r w:rsidRPr="00975E90">
        <w:rPr>
          <w:rFonts w:ascii="Tahoma" w:hAnsi="Tahoma" w:cs="Tahoma"/>
          <w:sz w:val="22"/>
          <w:szCs w:val="22"/>
        </w:rPr>
        <w:t>Finalmente, señaló que las Bases exigieron como documento obligatorio la presentación del Certificado Nutricional o de Micronutrientes, emitido por una certificadora vigente, que acredite los valores de micronutrientes del producto ofertado; no obstante ello, de la revisión de la propuesta de la Contratista, se ha podido advertir que no ha cumplido con presentar dicho documento, por lo que se debió descalificar su propuesta.</w:t>
      </w:r>
    </w:p>
    <w:p w:rsidR="00975E90" w:rsidRPr="00975E90" w:rsidRDefault="00975E90" w:rsidP="00975E90">
      <w:pPr>
        <w:pStyle w:val="Prrafodelista"/>
        <w:widowControl/>
        <w:suppressAutoHyphens w:val="0"/>
        <w:ind w:left="567"/>
        <w:contextualSpacing/>
        <w:jc w:val="both"/>
        <w:rPr>
          <w:rFonts w:ascii="Tahoma" w:hAnsi="Tahoma" w:cs="Tahoma"/>
          <w:sz w:val="22"/>
          <w:szCs w:val="22"/>
        </w:rPr>
      </w:pPr>
    </w:p>
    <w:p w:rsidR="00975E90" w:rsidRPr="00975E90" w:rsidRDefault="00975E90" w:rsidP="00975E90">
      <w:pPr>
        <w:pStyle w:val="Prrafodelista"/>
        <w:widowControl/>
        <w:numPr>
          <w:ilvl w:val="0"/>
          <w:numId w:val="11"/>
        </w:numPr>
        <w:suppressAutoHyphens w:val="0"/>
        <w:ind w:left="567" w:hanging="567"/>
        <w:contextualSpacing/>
        <w:jc w:val="both"/>
        <w:rPr>
          <w:rFonts w:ascii="Tahoma" w:hAnsi="Tahoma" w:cs="Tahoma"/>
          <w:sz w:val="22"/>
          <w:szCs w:val="22"/>
        </w:rPr>
      </w:pPr>
      <w:r w:rsidRPr="00975E90">
        <w:rPr>
          <w:rFonts w:ascii="Tahoma" w:hAnsi="Tahoma" w:cs="Tahoma"/>
          <w:sz w:val="22"/>
          <w:szCs w:val="22"/>
        </w:rPr>
        <w:t>A través del Memorando Nº 005-2009/SSUP-VVS de fecha 13 de noviembre de 2009, la Subdirección de Supervisión, Fiscalización y Estudios del OSCE, remitió a este Tribunal la denuncia presentada por la Organización Distrital de los Comités del Vaso de Leche de Independencia, en la cual, entre otros hechos, se informó que los productos entregados a la Entidad por la Contratista no contaba con Registro Sanitario, al haber adulterado el nombre autorizado por la Dirección General de Salud - DIGESA.</w:t>
      </w:r>
    </w:p>
    <w:p w:rsidR="00975E90" w:rsidRPr="00975E90" w:rsidRDefault="00975E90" w:rsidP="00975E90">
      <w:pPr>
        <w:pStyle w:val="Prrafodelista"/>
        <w:widowControl/>
        <w:suppressAutoHyphens w:val="0"/>
        <w:ind w:left="567"/>
        <w:contextualSpacing/>
        <w:jc w:val="both"/>
        <w:rPr>
          <w:rFonts w:ascii="Tahoma" w:hAnsi="Tahoma" w:cs="Tahoma"/>
          <w:sz w:val="22"/>
          <w:szCs w:val="22"/>
        </w:rPr>
      </w:pPr>
    </w:p>
    <w:p w:rsidR="00975E90" w:rsidRPr="00975E90" w:rsidRDefault="00975E90" w:rsidP="00975E90">
      <w:pPr>
        <w:pStyle w:val="Prrafodelista"/>
        <w:widowControl/>
        <w:numPr>
          <w:ilvl w:val="0"/>
          <w:numId w:val="11"/>
        </w:numPr>
        <w:suppressAutoHyphens w:val="0"/>
        <w:ind w:left="567" w:hanging="567"/>
        <w:contextualSpacing/>
        <w:jc w:val="both"/>
        <w:rPr>
          <w:rFonts w:ascii="Tahoma" w:hAnsi="Tahoma" w:cs="Tahoma"/>
          <w:sz w:val="22"/>
          <w:szCs w:val="22"/>
        </w:rPr>
      </w:pPr>
      <w:r w:rsidRPr="00975E90">
        <w:rPr>
          <w:rFonts w:ascii="Tahoma" w:hAnsi="Tahoma" w:cs="Tahoma"/>
          <w:bCs/>
          <w:sz w:val="22"/>
          <w:szCs w:val="22"/>
          <w:lang w:eastAsia="es-PE"/>
        </w:rPr>
        <w:t xml:space="preserve">Mediante </w:t>
      </w:r>
      <w:r w:rsidRPr="00975E90">
        <w:rPr>
          <w:rFonts w:ascii="Tahoma" w:hAnsi="Tahoma" w:cs="Tahoma"/>
          <w:sz w:val="22"/>
          <w:szCs w:val="22"/>
          <w:lang w:eastAsia="es-PE"/>
        </w:rPr>
        <w:t xml:space="preserve">decreto de fecha 18 de noviembre de 2010, la Secretaría del Tribunal corrió traslado a la Entidad de las denuncias presentadas, a fin que en el plazo de diez (10) días hábiles cumpla con remitir, entre otros documentos, un Informe Técnico Legal sobre la procedencia y presunta responsabilidad de la Contratista, al haber presentado supuesta documentación falsa o inexacta en la Exoneración </w:t>
      </w:r>
      <w:r w:rsidRPr="00975E90">
        <w:rPr>
          <w:rFonts w:ascii="Tahoma" w:hAnsi="Tahoma" w:cs="Tahoma"/>
          <w:sz w:val="22"/>
          <w:szCs w:val="22"/>
          <w:lang w:eastAsia="es-PE"/>
        </w:rPr>
        <w:lastRenderedPageBreak/>
        <w:t>Nº 02-2009-MDI/UL, ítem Nº 02, en el cual debía detallar los documentos supuestamente falsos o inexactos.</w:t>
      </w:r>
    </w:p>
    <w:p w:rsidR="00975E90" w:rsidRPr="00975E90" w:rsidRDefault="00975E90" w:rsidP="00975E90">
      <w:pPr>
        <w:contextualSpacing/>
        <w:jc w:val="both"/>
        <w:rPr>
          <w:rFonts w:ascii="Tahoma" w:hAnsi="Tahoma" w:cs="Tahoma"/>
          <w:sz w:val="22"/>
          <w:szCs w:val="22"/>
          <w:lang w:val="es-ES_tradnl"/>
        </w:rPr>
      </w:pPr>
    </w:p>
    <w:p w:rsidR="00975E90" w:rsidRPr="00975E90" w:rsidRDefault="00975E90" w:rsidP="00975E90">
      <w:pPr>
        <w:pStyle w:val="Prrafodelista"/>
        <w:widowControl/>
        <w:numPr>
          <w:ilvl w:val="0"/>
          <w:numId w:val="11"/>
        </w:numPr>
        <w:suppressAutoHyphens w:val="0"/>
        <w:ind w:left="567" w:hanging="567"/>
        <w:contextualSpacing/>
        <w:jc w:val="both"/>
        <w:rPr>
          <w:rFonts w:ascii="Tahoma" w:hAnsi="Tahoma" w:cs="Tahoma"/>
          <w:sz w:val="22"/>
          <w:szCs w:val="22"/>
        </w:rPr>
      </w:pPr>
      <w:r w:rsidRPr="00975E90">
        <w:rPr>
          <w:rFonts w:ascii="Tahoma" w:hAnsi="Tahoma" w:cs="Tahoma"/>
          <w:sz w:val="22"/>
          <w:szCs w:val="22"/>
        </w:rPr>
        <w:t>Con decreto de fecha 18 de diciembre de 2009, se reiteró a la Entidad que cumpla con remitir la documentación e información solicitada mediante decreto de fecha 18 de noviembre de 2010.</w:t>
      </w:r>
    </w:p>
    <w:p w:rsidR="00975E90" w:rsidRPr="00975E90" w:rsidRDefault="00975E90" w:rsidP="00975E90">
      <w:pPr>
        <w:pStyle w:val="Prrafodelista"/>
        <w:rPr>
          <w:rFonts w:ascii="Tahoma" w:hAnsi="Tahoma" w:cs="Tahoma"/>
          <w:sz w:val="22"/>
          <w:szCs w:val="22"/>
        </w:rPr>
      </w:pPr>
    </w:p>
    <w:p w:rsidR="00975E90" w:rsidRPr="00975E90" w:rsidRDefault="00975E90" w:rsidP="00975E90">
      <w:pPr>
        <w:pStyle w:val="Prrafodelista"/>
        <w:widowControl/>
        <w:numPr>
          <w:ilvl w:val="0"/>
          <w:numId w:val="11"/>
        </w:numPr>
        <w:suppressAutoHyphens w:val="0"/>
        <w:ind w:left="567" w:hanging="567"/>
        <w:contextualSpacing/>
        <w:jc w:val="both"/>
        <w:rPr>
          <w:rFonts w:ascii="Tahoma" w:hAnsi="Tahoma" w:cs="Tahoma"/>
          <w:sz w:val="22"/>
          <w:szCs w:val="22"/>
        </w:rPr>
      </w:pPr>
      <w:r w:rsidRPr="00975E90">
        <w:rPr>
          <w:rFonts w:ascii="Tahoma" w:hAnsi="Tahoma" w:cs="Tahoma"/>
          <w:sz w:val="22"/>
          <w:szCs w:val="22"/>
        </w:rPr>
        <w:t>A través del Oficio Nº 006-2010-GAR-MDI presentado 21 de enero de 2010, la Entidad adjuntó el Informe Técnico Legal Nº 031-2010-UAL/GM/MDI, en el cual señaló lo siguiente:</w:t>
      </w:r>
    </w:p>
    <w:p w:rsidR="00975E90" w:rsidRPr="00975E90" w:rsidRDefault="00975E90" w:rsidP="00975E90">
      <w:pPr>
        <w:rPr>
          <w:rFonts w:ascii="Tahoma" w:hAnsi="Tahoma" w:cs="Tahoma"/>
          <w:sz w:val="22"/>
          <w:szCs w:val="22"/>
        </w:rPr>
      </w:pPr>
    </w:p>
    <w:p w:rsidR="00975E90" w:rsidRPr="00975E90" w:rsidRDefault="00975E90" w:rsidP="00975E90">
      <w:pPr>
        <w:pStyle w:val="Prrafodelista"/>
        <w:widowControl/>
        <w:numPr>
          <w:ilvl w:val="0"/>
          <w:numId w:val="13"/>
        </w:numPr>
        <w:suppressAutoHyphens w:val="0"/>
        <w:ind w:left="1134" w:hanging="567"/>
        <w:contextualSpacing/>
        <w:jc w:val="both"/>
        <w:rPr>
          <w:rFonts w:ascii="Tahoma" w:hAnsi="Tahoma" w:cs="Tahoma"/>
          <w:sz w:val="22"/>
          <w:szCs w:val="22"/>
        </w:rPr>
      </w:pPr>
      <w:r w:rsidRPr="00975E90">
        <w:rPr>
          <w:rFonts w:ascii="Tahoma" w:hAnsi="Tahoma" w:cs="Tahoma"/>
          <w:sz w:val="22"/>
          <w:szCs w:val="22"/>
        </w:rPr>
        <w:t>Con posterioridad a la fecha de suscripción del Contrato, se ha podido apreciar que la Contratista ha remitido a la Entidad copia del envase de presentación de las hojuelas de quinua enriquecida con cereales, vitaminas y minerales; así como los Certificados Físico – Químico Nº 1645A-2009, Certificado Microbiológico Nº 1645B-2009 y Certificado Organoléptico Nº 1645C-2009, sin embargo, en dichos documentos, se ha consignado que los insumos antes señalados tienen como registro sanitario el código E5719408N NAARSN, no obstante ello, tal como lo informó DIGESA a través del Oficio Nº 3450-2009/DG/DIGESA, el acotado registro sanitario corresponde al producto hojuelas de cereales enriquecidos con vitaminas y minerales “Grano de Oro”; asimismo, se indicó en dicho oficio que la Contratista no cuenta con registro sanitario para la comercialización del producto que fue convocado mediante la Exoneración Nº 0002-2009-MDI-UL.</w:t>
      </w:r>
    </w:p>
    <w:p w:rsidR="00975E90" w:rsidRPr="00975E90" w:rsidRDefault="00975E90" w:rsidP="00975E90">
      <w:pPr>
        <w:pStyle w:val="Prrafodelista"/>
        <w:widowControl/>
        <w:suppressAutoHyphens w:val="0"/>
        <w:ind w:left="1134" w:hanging="567"/>
        <w:contextualSpacing/>
        <w:jc w:val="both"/>
        <w:rPr>
          <w:rFonts w:ascii="Tahoma" w:hAnsi="Tahoma" w:cs="Tahoma"/>
          <w:sz w:val="22"/>
          <w:szCs w:val="22"/>
        </w:rPr>
      </w:pPr>
    </w:p>
    <w:p w:rsidR="00975E90" w:rsidRPr="00975E90" w:rsidRDefault="00975E90" w:rsidP="00975E90">
      <w:pPr>
        <w:pStyle w:val="Prrafodelista"/>
        <w:widowControl/>
        <w:numPr>
          <w:ilvl w:val="0"/>
          <w:numId w:val="13"/>
        </w:numPr>
        <w:suppressAutoHyphens w:val="0"/>
        <w:ind w:left="1134" w:hanging="567"/>
        <w:contextualSpacing/>
        <w:jc w:val="both"/>
        <w:rPr>
          <w:rFonts w:ascii="Tahoma" w:hAnsi="Tahoma" w:cs="Tahoma"/>
          <w:sz w:val="22"/>
          <w:szCs w:val="22"/>
        </w:rPr>
      </w:pPr>
      <w:r w:rsidRPr="00975E90">
        <w:rPr>
          <w:rFonts w:ascii="Tahoma" w:hAnsi="Tahoma" w:cs="Tahoma"/>
          <w:sz w:val="22"/>
          <w:szCs w:val="22"/>
        </w:rPr>
        <w:t>De la revisión de la propuesta técnica de la Contratista, se advierte información inexacta y sesgada, respecto al producto del ítem Nº 02: Hojuela de quinua enriquecida con vitaminas y minerales, al adjuntarse en los anexos Nº 01 – Carta de Presentación y Declaración Jurada de Datos del Postor, Anexo Nº 02 – Declaración Jurada de Cumplimiento de los Requerimientos Técnicos Mínimos del Bien Convocado; Anexo Nº 03 – Declaración Jurada (Art. 42 del Reglamento de la Ley del Estado); y Anexo Nº 05 – Declaración Jurada de ser Fabricante o Distribuidor, en el cual se establece que el ítem al que postula la Contratista corresponde al ítem Nº 02: Hojuela de quinua enriquecida con vitaminas y minerales, no obstante ello, dichas declaraciones se contraponen con los documentos anexados a la misma y, además, se contraponen con el producto entregado a la Entidad, toda vez que si bien la denominación del producto solicitado por la Municipalidad (ítem Nº 02: Hojuela de quinua enriquecida con vitaminas y cereales), es parecida al producto consignado en cada uno de los documentos antes señalados, no es menos cierto que no es el mismo producto.</w:t>
      </w:r>
    </w:p>
    <w:p w:rsidR="00975E90" w:rsidRPr="00975E90" w:rsidRDefault="00975E90" w:rsidP="00975E90">
      <w:pPr>
        <w:pStyle w:val="Prrafodelista"/>
        <w:widowControl/>
        <w:suppressAutoHyphens w:val="0"/>
        <w:ind w:left="567"/>
        <w:contextualSpacing/>
        <w:jc w:val="both"/>
        <w:rPr>
          <w:rFonts w:ascii="Tahoma" w:hAnsi="Tahoma" w:cs="Tahoma"/>
          <w:sz w:val="22"/>
          <w:szCs w:val="22"/>
        </w:rPr>
      </w:pPr>
    </w:p>
    <w:p w:rsidR="00975E90" w:rsidRPr="00975E90" w:rsidRDefault="00975E90" w:rsidP="00975E90">
      <w:pPr>
        <w:pStyle w:val="Prrafodelista"/>
        <w:widowControl/>
        <w:numPr>
          <w:ilvl w:val="0"/>
          <w:numId w:val="11"/>
        </w:numPr>
        <w:suppressAutoHyphens w:val="0"/>
        <w:ind w:left="567" w:hanging="567"/>
        <w:contextualSpacing/>
        <w:jc w:val="both"/>
        <w:rPr>
          <w:rFonts w:ascii="Tahoma" w:hAnsi="Tahoma" w:cs="Tahoma"/>
          <w:sz w:val="22"/>
          <w:szCs w:val="22"/>
        </w:rPr>
      </w:pPr>
      <w:r w:rsidRPr="00975E90">
        <w:rPr>
          <w:rFonts w:ascii="Tahoma" w:hAnsi="Tahoma" w:cs="Tahoma"/>
          <w:sz w:val="22"/>
          <w:szCs w:val="22"/>
        </w:rPr>
        <w:lastRenderedPageBreak/>
        <w:t>Con</w:t>
      </w:r>
      <w:r w:rsidRPr="00975E90">
        <w:rPr>
          <w:rFonts w:ascii="Tahoma" w:eastAsia="Calibri" w:hAnsi="Tahoma" w:cs="Tahoma"/>
          <w:sz w:val="22"/>
          <w:szCs w:val="22"/>
          <w:lang w:val="es-PE" w:eastAsia="en-US"/>
        </w:rPr>
        <w:t xml:space="preserve"> decreto de fecha 26 de enero de 2010, se inició procedimiento administrativo sancionador a la Contratista, </w:t>
      </w:r>
      <w:r w:rsidRPr="00975E90">
        <w:rPr>
          <w:rFonts w:ascii="Tahoma" w:hAnsi="Tahoma" w:cs="Tahoma"/>
          <w:sz w:val="22"/>
          <w:szCs w:val="22"/>
        </w:rPr>
        <w:t>por su supuesta responsabilidad al haber incluido, como parte de su propuesta técnica, los documentos denominados Declaración Jurada de Cumplimiento de los Requerimientos Técnico Mínimos del Bien Convocado, ítem Nº 02 Declaración Jurada de ser Fabricante o Distribuidor y el envase (bolsa) del producto entregada a la Entidad, toda vez que el Registro Sanitario Nº E5719408N NAARSN presentado por la empresa como parte de su propuesta técnica, no corresponde a la denominación del producto requerido por la Entidad, es decir “Hojuela de quinua enriquecida con vitaminas y minerales”, documentos supuestamente falsos o inexactos presentados en el marco de la Exoneración Nº 02-2009-MDI/UL, ítem Nº 02. Asimismo,</w:t>
      </w:r>
      <w:r w:rsidRPr="00975E90">
        <w:rPr>
          <w:rFonts w:ascii="Tahoma" w:eastAsia="Calibri" w:hAnsi="Tahoma" w:cs="Tahoma"/>
          <w:sz w:val="22"/>
          <w:szCs w:val="22"/>
          <w:lang w:val="es-PE" w:eastAsia="en-US"/>
        </w:rPr>
        <w:t xml:space="preserve"> se le emplazó a la Contratista para que formule sus descargos en el plazo de diez (10) días hábiles, bajo apercibimiento de resolverse con la documentación obrante en autos. </w:t>
      </w:r>
    </w:p>
    <w:p w:rsidR="00975E90" w:rsidRPr="00975E90" w:rsidRDefault="00975E90" w:rsidP="00975E90">
      <w:pPr>
        <w:pStyle w:val="Prrafodelista"/>
        <w:rPr>
          <w:rFonts w:ascii="Tahoma" w:hAnsi="Tahoma" w:cs="Tahoma"/>
          <w:sz w:val="22"/>
          <w:szCs w:val="22"/>
        </w:rPr>
      </w:pPr>
    </w:p>
    <w:p w:rsidR="00975E90" w:rsidRPr="00975E90" w:rsidRDefault="00975E90" w:rsidP="00975E90">
      <w:pPr>
        <w:pStyle w:val="Prrafodelista"/>
        <w:widowControl/>
        <w:numPr>
          <w:ilvl w:val="0"/>
          <w:numId w:val="11"/>
        </w:numPr>
        <w:suppressAutoHyphens w:val="0"/>
        <w:ind w:left="567" w:hanging="567"/>
        <w:contextualSpacing/>
        <w:jc w:val="both"/>
        <w:rPr>
          <w:rFonts w:ascii="Tahoma" w:eastAsia="Calibri" w:hAnsi="Tahoma" w:cs="Tahoma"/>
          <w:sz w:val="22"/>
          <w:szCs w:val="22"/>
          <w:lang w:eastAsia="en-US"/>
        </w:rPr>
      </w:pPr>
      <w:r w:rsidRPr="00975E90">
        <w:rPr>
          <w:rFonts w:ascii="Tahoma" w:hAnsi="Tahoma" w:cs="Tahoma"/>
          <w:sz w:val="22"/>
          <w:szCs w:val="22"/>
        </w:rPr>
        <w:t>Mediante escritos presentados el 13 y 16 setiembre de 2010, respectivamente, la Contratista presentó sus escritos de descargos, en el cual señaló lo siguiente:</w:t>
      </w:r>
    </w:p>
    <w:p w:rsidR="00975E90" w:rsidRPr="00975E90" w:rsidRDefault="00975E90" w:rsidP="00975E90">
      <w:pPr>
        <w:pStyle w:val="Prrafodelista"/>
        <w:rPr>
          <w:rFonts w:ascii="Tahoma" w:hAnsi="Tahoma" w:cs="Tahoma"/>
          <w:sz w:val="22"/>
          <w:szCs w:val="22"/>
        </w:rPr>
      </w:pPr>
    </w:p>
    <w:p w:rsidR="00975E90" w:rsidRPr="00975E90" w:rsidRDefault="00975E90" w:rsidP="00975E90">
      <w:pPr>
        <w:pStyle w:val="Prrafodelista"/>
        <w:widowControl/>
        <w:numPr>
          <w:ilvl w:val="0"/>
          <w:numId w:val="14"/>
        </w:numPr>
        <w:suppressAutoHyphens w:val="0"/>
        <w:ind w:left="1134" w:hanging="567"/>
        <w:contextualSpacing/>
        <w:jc w:val="both"/>
        <w:rPr>
          <w:rFonts w:ascii="Tahoma" w:eastAsia="Calibri" w:hAnsi="Tahoma" w:cs="Tahoma"/>
          <w:sz w:val="22"/>
          <w:szCs w:val="22"/>
          <w:lang w:eastAsia="en-US"/>
        </w:rPr>
      </w:pPr>
      <w:r w:rsidRPr="00975E90">
        <w:rPr>
          <w:rFonts w:ascii="Tahoma" w:eastAsia="Calibri" w:hAnsi="Tahoma" w:cs="Tahoma"/>
          <w:sz w:val="22"/>
          <w:szCs w:val="22"/>
          <w:lang w:eastAsia="en-US"/>
        </w:rPr>
        <w:t>El producto ofertado cuenta con el Registro Sanitario Nº E5719408N/NAARSN cuya denominación es “Hojuela de cereales enriquecido con vitaminas y minerales”, la misma que cuenta con todos los componentes exigidos por la Bases Administrativas; por lo tanto, si bien es cierto que el producto ofertado tenía una denominación o un nombre diferente, no es menos cierto que en el punto 7 de dichas bases, se estableció que se aceptará el Registro Sanitario de productos cuya denominación sea distinta al objeto de la convocatoria, siempre que se adjunte la solicitud o declaración jurada presentada ante DIGESA, para corroborar la composición establecida en las especificaciones técnicas de las bases.</w:t>
      </w:r>
    </w:p>
    <w:p w:rsidR="00975E90" w:rsidRPr="00975E90" w:rsidRDefault="00975E90" w:rsidP="00975E90">
      <w:pPr>
        <w:pStyle w:val="Prrafodelista"/>
        <w:widowControl/>
        <w:suppressAutoHyphens w:val="0"/>
        <w:ind w:left="1134" w:hanging="567"/>
        <w:contextualSpacing/>
        <w:jc w:val="both"/>
        <w:rPr>
          <w:rFonts w:ascii="Tahoma" w:eastAsia="Calibri" w:hAnsi="Tahoma" w:cs="Tahoma"/>
          <w:sz w:val="22"/>
          <w:szCs w:val="22"/>
          <w:lang w:eastAsia="en-US"/>
        </w:rPr>
      </w:pPr>
    </w:p>
    <w:p w:rsidR="00975E90" w:rsidRPr="00975E90" w:rsidRDefault="00975E90" w:rsidP="00975E90">
      <w:pPr>
        <w:pStyle w:val="Prrafodelista"/>
        <w:widowControl/>
        <w:numPr>
          <w:ilvl w:val="0"/>
          <w:numId w:val="14"/>
        </w:numPr>
        <w:suppressAutoHyphens w:val="0"/>
        <w:ind w:left="1134" w:hanging="567"/>
        <w:contextualSpacing/>
        <w:jc w:val="both"/>
        <w:rPr>
          <w:rFonts w:ascii="Tahoma" w:eastAsia="Calibri" w:hAnsi="Tahoma" w:cs="Tahoma"/>
          <w:sz w:val="22"/>
          <w:szCs w:val="22"/>
          <w:lang w:eastAsia="en-US"/>
        </w:rPr>
      </w:pPr>
      <w:r w:rsidRPr="00975E90">
        <w:rPr>
          <w:rFonts w:ascii="Tahoma" w:eastAsia="Calibri" w:hAnsi="Tahoma" w:cs="Tahoma"/>
          <w:sz w:val="22"/>
          <w:szCs w:val="22"/>
          <w:lang w:eastAsia="en-US"/>
        </w:rPr>
        <w:t>En tal sentido, cumplió con adjuntar en el expediente técnico el Registro Sanitario Nº E5719408N/NAARSN correspondiente al producto hojuelas de cereales enriquecido con vitaminas y minerales, cuyos componentes son los requeridos por la Entidad, aunque no tenía la misma denominación.</w:t>
      </w:r>
    </w:p>
    <w:p w:rsidR="00975E90" w:rsidRPr="00975E90" w:rsidRDefault="00975E90" w:rsidP="00975E90">
      <w:pPr>
        <w:pStyle w:val="Prrafodelista"/>
        <w:widowControl/>
        <w:suppressAutoHyphens w:val="0"/>
        <w:ind w:left="1134" w:hanging="567"/>
        <w:contextualSpacing/>
        <w:jc w:val="both"/>
        <w:rPr>
          <w:rFonts w:ascii="Tahoma" w:eastAsia="Calibri" w:hAnsi="Tahoma" w:cs="Tahoma"/>
          <w:sz w:val="22"/>
          <w:szCs w:val="22"/>
          <w:lang w:eastAsia="en-US"/>
        </w:rPr>
      </w:pPr>
    </w:p>
    <w:p w:rsidR="00975E90" w:rsidRPr="00975E90" w:rsidRDefault="00975E90" w:rsidP="00975E90">
      <w:pPr>
        <w:pStyle w:val="Prrafodelista"/>
        <w:widowControl/>
        <w:numPr>
          <w:ilvl w:val="0"/>
          <w:numId w:val="14"/>
        </w:numPr>
        <w:suppressAutoHyphens w:val="0"/>
        <w:ind w:left="1134" w:hanging="567"/>
        <w:contextualSpacing/>
        <w:jc w:val="both"/>
        <w:rPr>
          <w:rFonts w:ascii="Tahoma" w:eastAsia="Calibri" w:hAnsi="Tahoma" w:cs="Tahoma"/>
          <w:sz w:val="22"/>
          <w:szCs w:val="22"/>
          <w:lang w:eastAsia="en-US"/>
        </w:rPr>
      </w:pPr>
      <w:r w:rsidRPr="00975E90">
        <w:rPr>
          <w:rFonts w:ascii="Tahoma" w:eastAsia="Calibri" w:hAnsi="Tahoma" w:cs="Tahoma"/>
          <w:sz w:val="22"/>
          <w:szCs w:val="22"/>
          <w:lang w:eastAsia="en-US"/>
        </w:rPr>
        <w:t xml:space="preserve">Por otro lado, de las actuaciones realizadas por la DIRECCIÓN GENERAL DE SALUD - DIGESA, se emitió el Informe Nº 2777-2009/DHAZ/DIGESA, en el cual se concluyó que el Registro Sanitario Nº E5719408N/NAARSN, no corresponde al producto hojuela de quinua enriquecida con cereales, vitaminas y minerales Grano de Oro, según lo verificado en la base de datos, no obstante ello, tal como se señaló anteriormente, las bases administrativas establecían que se podía ofertar productos con diferentes denominación, siempre y cuando ella cumpla con los requerimientos técnicos mínimos y que contengan la composición cualitativa y los aditivos de vitaminas y minerales requerida por la ración del Programa del Vaso de </w:t>
      </w:r>
      <w:r w:rsidRPr="00975E90">
        <w:rPr>
          <w:rFonts w:ascii="Tahoma" w:eastAsia="Calibri" w:hAnsi="Tahoma" w:cs="Tahoma"/>
          <w:sz w:val="22"/>
          <w:szCs w:val="22"/>
          <w:lang w:eastAsia="en-US"/>
        </w:rPr>
        <w:lastRenderedPageBreak/>
        <w:t>Leche; sin embargo, dicha información no fue proporcionada a la DIRECCIÓN GENERAL DE SALUD – DIGESA, toda vez que a través del Auto Directoral Nº 229-2009/DHAZ/DIGESA/SA, les concedió un plazo de 5 días útiles para efectuar sus descargos, por lo que demuestra que no ha tenido en cuenta dichos argumentos para emitir el informe, acreditándose que lo señalado en el acotado informe no es una conclusión final.</w:t>
      </w:r>
    </w:p>
    <w:p w:rsidR="00975E90" w:rsidRPr="00975E90" w:rsidRDefault="00975E90" w:rsidP="00975E90">
      <w:pPr>
        <w:pStyle w:val="Prrafodelista"/>
        <w:widowControl/>
        <w:suppressAutoHyphens w:val="0"/>
        <w:ind w:left="1134" w:hanging="567"/>
        <w:contextualSpacing/>
        <w:jc w:val="both"/>
        <w:rPr>
          <w:rFonts w:ascii="Tahoma" w:eastAsia="Calibri" w:hAnsi="Tahoma" w:cs="Tahoma"/>
          <w:sz w:val="22"/>
          <w:szCs w:val="22"/>
          <w:lang w:eastAsia="en-US"/>
        </w:rPr>
      </w:pPr>
    </w:p>
    <w:p w:rsidR="00975E90" w:rsidRPr="00975E90" w:rsidRDefault="00975E90" w:rsidP="00975E90">
      <w:pPr>
        <w:pStyle w:val="Prrafodelista"/>
        <w:widowControl/>
        <w:numPr>
          <w:ilvl w:val="0"/>
          <w:numId w:val="14"/>
        </w:numPr>
        <w:suppressAutoHyphens w:val="0"/>
        <w:ind w:left="1134" w:hanging="567"/>
        <w:contextualSpacing/>
        <w:jc w:val="both"/>
        <w:rPr>
          <w:rFonts w:ascii="Tahoma" w:eastAsia="Calibri" w:hAnsi="Tahoma" w:cs="Tahoma"/>
          <w:sz w:val="22"/>
          <w:szCs w:val="22"/>
          <w:lang w:eastAsia="en-US"/>
        </w:rPr>
      </w:pPr>
      <w:r w:rsidRPr="00975E90">
        <w:rPr>
          <w:rFonts w:ascii="Tahoma" w:eastAsia="Calibri" w:hAnsi="Tahoma" w:cs="Tahoma"/>
          <w:sz w:val="22"/>
          <w:szCs w:val="22"/>
          <w:lang w:eastAsia="en-US"/>
        </w:rPr>
        <w:t>Asimismo, el argumento de que no contarían con el registro sanitario que corresponde al producto entregado queda totalmente desvirtuado, si se tiene en cuenta el requerimiento de la Entidad, los documentos solicitados a las empresa oferentes, la evaluación a dichos documentos y los análisis realizados por cada entrega de los productos y la constancia de fiel cumplimiento, otorgado por la propia entidad; por lo tanto, no es cierto que hayan consignado un registro sanitario distinto al producto entregado, sino que por el contrario, consignaron un número de registro sanitario, la composición requerida y el nombre del producto; si bien con distinta denominación, pero aceptada por la Entidad.</w:t>
      </w:r>
    </w:p>
    <w:p w:rsidR="00975E90" w:rsidRPr="00975E90" w:rsidRDefault="00975E90" w:rsidP="00975E90">
      <w:pPr>
        <w:pStyle w:val="Prrafodelista"/>
        <w:widowControl/>
        <w:suppressAutoHyphens w:val="0"/>
        <w:ind w:left="1134" w:hanging="567"/>
        <w:contextualSpacing/>
        <w:jc w:val="both"/>
        <w:rPr>
          <w:rFonts w:ascii="Tahoma" w:eastAsia="Calibri" w:hAnsi="Tahoma" w:cs="Tahoma"/>
          <w:sz w:val="22"/>
          <w:szCs w:val="22"/>
          <w:lang w:eastAsia="en-US"/>
        </w:rPr>
      </w:pPr>
    </w:p>
    <w:p w:rsidR="00975E90" w:rsidRPr="00975E90" w:rsidRDefault="00975E90" w:rsidP="00975E90">
      <w:pPr>
        <w:pStyle w:val="Prrafodelista"/>
        <w:widowControl/>
        <w:numPr>
          <w:ilvl w:val="0"/>
          <w:numId w:val="14"/>
        </w:numPr>
        <w:suppressAutoHyphens w:val="0"/>
        <w:ind w:left="1134" w:hanging="567"/>
        <w:contextualSpacing/>
        <w:jc w:val="both"/>
        <w:rPr>
          <w:rFonts w:ascii="Tahoma" w:eastAsia="Calibri" w:hAnsi="Tahoma" w:cs="Tahoma"/>
          <w:sz w:val="22"/>
          <w:szCs w:val="22"/>
          <w:lang w:eastAsia="en-US"/>
        </w:rPr>
      </w:pPr>
      <w:r w:rsidRPr="00975E90">
        <w:rPr>
          <w:rFonts w:ascii="Tahoma" w:eastAsia="Calibri" w:hAnsi="Tahoma" w:cs="Tahoma"/>
          <w:sz w:val="22"/>
          <w:szCs w:val="22"/>
          <w:lang w:eastAsia="en-US"/>
        </w:rPr>
        <w:t>Así también, se debe considerar que la Entidad incurrió en error material, toda vez que de la lectura de las especificaciones técnicas de las Bases Administrativas de la Exoneración Nº 002-2009-MDI/UL, se consignó que el ítem Nº 02, es para la adquisición de “Hojuela de quinua enriquecida con cereales, vitamina y minerales” y no como maliciosamente se señaló en el Informe Técnico Legal Nº 031-2010-UAL/GM/MDI, en el cual se indicó que la convocatoria era para la adquisición de “Hojuela de quinua enriquecida con vitamina y minerales”; por lo tanto, en los documentos presentados en la propuesta técnica, se precisa que el producto ofertado es “Hojuela de quinua enriquecida con cereales, vitamina y minerales”, de acuerdo a los formatos y anexos de las Bases y, además, dicho producto también ha sido identificado en los certificados de calidad entregados.</w:t>
      </w:r>
    </w:p>
    <w:p w:rsidR="00975E90" w:rsidRPr="00975E90" w:rsidRDefault="00975E90" w:rsidP="00975E90">
      <w:pPr>
        <w:pStyle w:val="Prrafodelista"/>
        <w:widowControl/>
        <w:suppressAutoHyphens w:val="0"/>
        <w:ind w:left="1134" w:hanging="567"/>
        <w:contextualSpacing/>
        <w:jc w:val="both"/>
        <w:rPr>
          <w:rFonts w:ascii="Tahoma" w:eastAsia="Calibri" w:hAnsi="Tahoma" w:cs="Tahoma"/>
          <w:sz w:val="22"/>
          <w:szCs w:val="22"/>
          <w:lang w:eastAsia="en-US"/>
        </w:rPr>
      </w:pPr>
    </w:p>
    <w:p w:rsidR="00975E90" w:rsidRPr="00975E90" w:rsidRDefault="00975E90" w:rsidP="00975E90">
      <w:pPr>
        <w:pStyle w:val="Prrafodelista"/>
        <w:widowControl/>
        <w:numPr>
          <w:ilvl w:val="0"/>
          <w:numId w:val="14"/>
        </w:numPr>
        <w:suppressAutoHyphens w:val="0"/>
        <w:ind w:left="1134" w:hanging="567"/>
        <w:contextualSpacing/>
        <w:jc w:val="both"/>
        <w:rPr>
          <w:rFonts w:ascii="Tahoma" w:eastAsia="Calibri" w:hAnsi="Tahoma" w:cs="Tahoma"/>
          <w:sz w:val="22"/>
          <w:szCs w:val="22"/>
          <w:lang w:eastAsia="en-US"/>
        </w:rPr>
      </w:pPr>
      <w:r w:rsidRPr="00975E90">
        <w:rPr>
          <w:rFonts w:ascii="Tahoma" w:eastAsia="Calibri" w:hAnsi="Tahoma" w:cs="Tahoma"/>
          <w:sz w:val="22"/>
          <w:szCs w:val="22"/>
          <w:lang w:eastAsia="en-US"/>
        </w:rPr>
        <w:t>Por lo expuesto, se acredita que no ha falseado ni proporcionado datos inexactos en las declaraciones juradas y, además, que el Registro Sanitario consignado en las bolsas de producto está de acuerdo a la facultad que les confirió las Bases Administrativas de usar otra denominación del producto, la misma que reúne los mismos requerimientos técnicos mínimos, por lo que no existe infracción ni sanción, debiéndose archivar el presente procedimiento.</w:t>
      </w:r>
    </w:p>
    <w:p w:rsidR="00975E90" w:rsidRPr="00975E90" w:rsidRDefault="00975E90" w:rsidP="00975E90">
      <w:pPr>
        <w:pStyle w:val="Prrafodelista"/>
        <w:widowControl/>
        <w:suppressAutoHyphens w:val="0"/>
        <w:ind w:left="567"/>
        <w:contextualSpacing/>
        <w:jc w:val="both"/>
        <w:rPr>
          <w:rFonts w:ascii="Tahoma" w:eastAsia="Calibri" w:hAnsi="Tahoma" w:cs="Tahoma"/>
          <w:sz w:val="22"/>
          <w:szCs w:val="22"/>
          <w:lang w:eastAsia="en-US"/>
        </w:rPr>
      </w:pPr>
    </w:p>
    <w:p w:rsidR="00975E90" w:rsidRPr="00975E90" w:rsidRDefault="00975E90" w:rsidP="00975E90">
      <w:pPr>
        <w:pStyle w:val="Prrafodelista"/>
        <w:widowControl/>
        <w:numPr>
          <w:ilvl w:val="0"/>
          <w:numId w:val="11"/>
        </w:numPr>
        <w:suppressAutoHyphens w:val="0"/>
        <w:ind w:left="567" w:hanging="567"/>
        <w:contextualSpacing/>
        <w:jc w:val="both"/>
        <w:rPr>
          <w:rFonts w:ascii="Tahoma" w:hAnsi="Tahoma" w:cs="Tahoma"/>
          <w:sz w:val="22"/>
          <w:szCs w:val="22"/>
        </w:rPr>
      </w:pPr>
      <w:r w:rsidRPr="00975E90">
        <w:rPr>
          <w:rFonts w:ascii="Tahoma" w:hAnsi="Tahoma" w:cs="Tahoma"/>
          <w:sz w:val="22"/>
          <w:szCs w:val="22"/>
          <w:lang w:eastAsia="es-PE"/>
        </w:rPr>
        <w:t>Mediante decreto del 22 de setiembre de 2010, se tuvo por apersonada a la Contratista, por presentados sus descargos, por señalado su domicilio procesal y se remitió el expediente a la Primera Sala del Tribunal para que resuelva.</w:t>
      </w:r>
    </w:p>
    <w:p w:rsidR="00975E90" w:rsidRDefault="00975E90" w:rsidP="00975E90">
      <w:pPr>
        <w:contextualSpacing/>
        <w:jc w:val="both"/>
        <w:rPr>
          <w:rFonts w:ascii="Tahoma" w:hAnsi="Tahoma" w:cs="Tahoma"/>
          <w:sz w:val="22"/>
          <w:szCs w:val="22"/>
        </w:rPr>
      </w:pPr>
    </w:p>
    <w:p w:rsidR="00975E90" w:rsidRDefault="00975E90" w:rsidP="00975E90">
      <w:pPr>
        <w:contextualSpacing/>
        <w:jc w:val="both"/>
        <w:rPr>
          <w:rFonts w:ascii="Tahoma" w:hAnsi="Tahoma" w:cs="Tahoma"/>
          <w:sz w:val="22"/>
          <w:szCs w:val="22"/>
        </w:rPr>
      </w:pPr>
    </w:p>
    <w:p w:rsidR="00975E90" w:rsidRDefault="00975E90" w:rsidP="00975E90">
      <w:pPr>
        <w:contextualSpacing/>
        <w:jc w:val="both"/>
        <w:rPr>
          <w:rFonts w:ascii="Tahoma" w:hAnsi="Tahoma" w:cs="Tahoma"/>
          <w:sz w:val="22"/>
          <w:szCs w:val="22"/>
        </w:rPr>
      </w:pPr>
    </w:p>
    <w:p w:rsidR="00975E90" w:rsidRDefault="00975E90" w:rsidP="00975E90">
      <w:pPr>
        <w:contextualSpacing/>
        <w:jc w:val="both"/>
        <w:rPr>
          <w:rFonts w:ascii="Tahoma" w:hAnsi="Tahoma" w:cs="Tahoma"/>
          <w:sz w:val="22"/>
          <w:szCs w:val="22"/>
        </w:rPr>
      </w:pPr>
    </w:p>
    <w:p w:rsidR="00975E90" w:rsidRDefault="00975E90" w:rsidP="00975E90">
      <w:pPr>
        <w:contextualSpacing/>
        <w:jc w:val="both"/>
        <w:rPr>
          <w:rFonts w:ascii="Tahoma" w:hAnsi="Tahoma" w:cs="Tahoma"/>
          <w:sz w:val="22"/>
          <w:szCs w:val="22"/>
        </w:rPr>
      </w:pPr>
    </w:p>
    <w:p w:rsidR="00975E90" w:rsidRDefault="00975E90" w:rsidP="00975E90">
      <w:pPr>
        <w:contextualSpacing/>
        <w:jc w:val="both"/>
        <w:rPr>
          <w:rFonts w:ascii="Tahoma" w:hAnsi="Tahoma" w:cs="Tahoma"/>
          <w:sz w:val="22"/>
          <w:szCs w:val="22"/>
        </w:rPr>
      </w:pPr>
    </w:p>
    <w:p w:rsidR="00975E90" w:rsidRPr="00975E90" w:rsidRDefault="00975E90" w:rsidP="00975E90">
      <w:pPr>
        <w:contextualSpacing/>
        <w:jc w:val="both"/>
        <w:rPr>
          <w:rFonts w:ascii="Tahoma" w:hAnsi="Tahoma" w:cs="Tahoma"/>
          <w:sz w:val="22"/>
          <w:szCs w:val="22"/>
        </w:rPr>
      </w:pPr>
    </w:p>
    <w:p w:rsidR="00975E90" w:rsidRPr="00975E90" w:rsidRDefault="00975E90" w:rsidP="00975E90">
      <w:pPr>
        <w:pStyle w:val="Prrafodelista"/>
        <w:widowControl/>
        <w:numPr>
          <w:ilvl w:val="0"/>
          <w:numId w:val="11"/>
        </w:numPr>
        <w:suppressAutoHyphens w:val="0"/>
        <w:ind w:left="567" w:hanging="567"/>
        <w:contextualSpacing/>
        <w:jc w:val="both"/>
        <w:rPr>
          <w:rFonts w:ascii="Tahoma" w:hAnsi="Tahoma" w:cs="Tahoma"/>
          <w:sz w:val="22"/>
          <w:szCs w:val="22"/>
        </w:rPr>
      </w:pPr>
      <w:r w:rsidRPr="00975E90">
        <w:rPr>
          <w:rFonts w:ascii="Tahoma" w:hAnsi="Tahoma" w:cs="Tahoma"/>
          <w:sz w:val="22"/>
          <w:szCs w:val="22"/>
        </w:rPr>
        <w:t>A fin que la Primera Sala cuente con mayores elementos de juicio al momento de resolver el presente procedimiento, mediante decreto del 09 de diciembre de 2010, se requirió a la empresa Sociedad de Asesoramiento Técnico S.A.C. que cumpla con informar lo siguiente:</w:t>
      </w:r>
    </w:p>
    <w:p w:rsidR="00975E90" w:rsidRPr="00905929" w:rsidRDefault="00975E90" w:rsidP="00975E90">
      <w:pPr>
        <w:rPr>
          <w:rFonts w:ascii="Tahoma" w:hAnsi="Tahoma" w:cs="Tahoma"/>
          <w:sz w:val="22"/>
          <w:szCs w:val="22"/>
        </w:rPr>
      </w:pPr>
    </w:p>
    <w:p w:rsidR="00975E90" w:rsidRPr="006577EA" w:rsidRDefault="00975E90" w:rsidP="00975E90">
      <w:pPr>
        <w:pStyle w:val="Prrafodelista"/>
        <w:numPr>
          <w:ilvl w:val="0"/>
          <w:numId w:val="15"/>
        </w:numPr>
        <w:ind w:left="1134" w:hanging="567"/>
        <w:jc w:val="both"/>
        <w:rPr>
          <w:rFonts w:ascii="Tahoma" w:hAnsi="Tahoma" w:cs="Tahoma"/>
          <w:i/>
          <w:color w:val="000000"/>
          <w:sz w:val="18"/>
          <w:szCs w:val="18"/>
        </w:rPr>
      </w:pPr>
      <w:r w:rsidRPr="006577EA">
        <w:rPr>
          <w:rFonts w:ascii="Tahoma" w:hAnsi="Tahoma" w:cs="Tahoma"/>
          <w:i/>
          <w:color w:val="000000"/>
          <w:sz w:val="18"/>
          <w:szCs w:val="18"/>
        </w:rPr>
        <w:t xml:space="preserve">Sírvase pronunciarse respecto a la autenticidad y exactitud del </w:t>
      </w:r>
      <w:r w:rsidRPr="006577EA">
        <w:rPr>
          <w:rFonts w:ascii="Tahoma" w:hAnsi="Tahoma" w:cs="Tahoma"/>
          <w:i/>
          <w:color w:val="000000" w:themeColor="text1"/>
          <w:sz w:val="18"/>
          <w:szCs w:val="18"/>
        </w:rPr>
        <w:t>Certificado Físico – Químico Nº 1645A-2009, Certificado Microbiológico Nº 1645B-2009 y del Certificado Organoléptico Nº 1645C-2009</w:t>
      </w:r>
      <w:r w:rsidRPr="006577EA">
        <w:rPr>
          <w:rFonts w:ascii="Tahoma" w:hAnsi="Tahoma" w:cs="Tahoma"/>
          <w:i/>
          <w:color w:val="000000"/>
          <w:sz w:val="18"/>
          <w:szCs w:val="18"/>
        </w:rPr>
        <w:t>.</w:t>
      </w:r>
    </w:p>
    <w:p w:rsidR="00975E90" w:rsidRPr="006577EA" w:rsidRDefault="00975E90" w:rsidP="00975E90">
      <w:pPr>
        <w:ind w:left="1134" w:hanging="567"/>
        <w:jc w:val="both"/>
        <w:rPr>
          <w:rFonts w:ascii="Tahoma" w:hAnsi="Tahoma" w:cs="Tahoma"/>
          <w:i/>
          <w:color w:val="444444"/>
          <w:sz w:val="18"/>
          <w:szCs w:val="18"/>
          <w:lang w:val="es-ES_tradnl"/>
        </w:rPr>
      </w:pPr>
    </w:p>
    <w:p w:rsidR="00975E90" w:rsidRPr="006577EA" w:rsidRDefault="00975E90" w:rsidP="00975E90">
      <w:pPr>
        <w:pStyle w:val="Prrafodelista"/>
        <w:numPr>
          <w:ilvl w:val="0"/>
          <w:numId w:val="15"/>
        </w:numPr>
        <w:ind w:left="1134" w:hanging="567"/>
        <w:jc w:val="both"/>
        <w:rPr>
          <w:rFonts w:ascii="Tahoma" w:hAnsi="Tahoma" w:cs="Tahoma"/>
          <w:i/>
          <w:color w:val="000000"/>
          <w:sz w:val="18"/>
          <w:szCs w:val="18"/>
        </w:rPr>
      </w:pPr>
      <w:r w:rsidRPr="006577EA">
        <w:rPr>
          <w:rFonts w:ascii="Tahoma" w:hAnsi="Tahoma" w:cs="Tahoma"/>
          <w:i/>
          <w:color w:val="000000"/>
          <w:sz w:val="18"/>
          <w:szCs w:val="18"/>
        </w:rPr>
        <w:t>Sírvase pronunciarse respecto a la contradicción que existiría entre los datos consignados en dichos certificados</w:t>
      </w:r>
      <w:r w:rsidRPr="006577EA">
        <w:rPr>
          <w:rFonts w:ascii="Tahoma" w:hAnsi="Tahoma" w:cs="Tahoma"/>
          <w:i/>
          <w:color w:val="000000" w:themeColor="text1"/>
          <w:sz w:val="18"/>
          <w:szCs w:val="18"/>
        </w:rPr>
        <w:t>, los mismos que señalaron que el Producto HOJUELAS DE QUINUA ENRIQUECIDA CON CEREALES DE VITAMINAS Y MINERALES, producidas por la empresa Agroindustria Santa Maria S.A.C., cuenta con Registro Sanitario Nº E5719408N NAARSN;</w:t>
      </w:r>
      <w:r w:rsidRPr="006577EA">
        <w:rPr>
          <w:rFonts w:ascii="Tahoma" w:hAnsi="Tahoma" w:cs="Tahoma"/>
          <w:i/>
          <w:color w:val="000000"/>
          <w:sz w:val="18"/>
          <w:szCs w:val="18"/>
        </w:rPr>
        <w:t xml:space="preserve"> y el Oficio Nº 3035-2009/DG/DIGESA, el cual informó que dicha empresa no cuenta con registro sanitario para la comercialización d</w:t>
      </w:r>
      <w:r w:rsidRPr="006577EA">
        <w:rPr>
          <w:rFonts w:ascii="Tahoma" w:hAnsi="Tahoma" w:cs="Tahoma"/>
          <w:i/>
          <w:color w:val="000000" w:themeColor="text1"/>
          <w:sz w:val="18"/>
          <w:szCs w:val="18"/>
        </w:rPr>
        <w:t>el Producto HOJUELAS DE QUINUA ENRIQUECIDA CON CEREALES DE VITAMINAS Y MINERALES, teniendo en consideración que el código Nº E5719408N NAARSN corresponde al producto HOJUELAS DE CEREALES ENRIQUECIDOS CON VITAMINAS Y MINERALES “GRANO DE ORO”</w:t>
      </w:r>
    </w:p>
    <w:p w:rsidR="00975E90" w:rsidRDefault="00975E90" w:rsidP="00975E90">
      <w:pPr>
        <w:rPr>
          <w:rFonts w:ascii="Tahoma" w:hAnsi="Tahoma" w:cs="Tahoma"/>
          <w:sz w:val="22"/>
          <w:szCs w:val="22"/>
        </w:rPr>
      </w:pPr>
    </w:p>
    <w:p w:rsidR="00975E90" w:rsidRPr="00975E90" w:rsidRDefault="00975E90" w:rsidP="00975E90">
      <w:pPr>
        <w:pStyle w:val="Prrafodelista"/>
        <w:widowControl/>
        <w:numPr>
          <w:ilvl w:val="0"/>
          <w:numId w:val="11"/>
        </w:numPr>
        <w:suppressAutoHyphens w:val="0"/>
        <w:ind w:left="567" w:hanging="567"/>
        <w:contextualSpacing/>
        <w:jc w:val="both"/>
        <w:rPr>
          <w:rFonts w:ascii="Tahoma" w:hAnsi="Tahoma" w:cs="Tahoma"/>
          <w:sz w:val="22"/>
          <w:szCs w:val="22"/>
        </w:rPr>
      </w:pPr>
      <w:r w:rsidRPr="00975E90">
        <w:rPr>
          <w:rFonts w:ascii="Tahoma" w:hAnsi="Tahoma" w:cs="Tahoma"/>
          <w:sz w:val="22"/>
          <w:szCs w:val="22"/>
        </w:rPr>
        <w:t>A través del escrito de fecha 15 de diciembre de 2010, la empresa Sociedad de Asesoramiento Técnico S.A.C., cumplió con remitir la información solicitada, informado a este Tribunal lo siguiente:</w:t>
      </w:r>
    </w:p>
    <w:p w:rsidR="00975E90" w:rsidRDefault="00975E90" w:rsidP="00975E90">
      <w:pPr>
        <w:pStyle w:val="Prrafodelista"/>
        <w:widowControl/>
        <w:suppressAutoHyphens w:val="0"/>
        <w:ind w:left="567"/>
        <w:contextualSpacing/>
        <w:jc w:val="both"/>
        <w:rPr>
          <w:rFonts w:ascii="Tahoma" w:hAnsi="Tahoma" w:cs="Tahoma"/>
          <w:sz w:val="22"/>
          <w:szCs w:val="22"/>
        </w:rPr>
      </w:pPr>
    </w:p>
    <w:p w:rsidR="00975E90" w:rsidRPr="00E50751" w:rsidRDefault="00975E90" w:rsidP="00975E90">
      <w:pPr>
        <w:pStyle w:val="Prrafodelista"/>
        <w:widowControl/>
        <w:suppressAutoHyphens w:val="0"/>
        <w:ind w:left="851" w:right="424"/>
        <w:contextualSpacing/>
        <w:jc w:val="both"/>
        <w:rPr>
          <w:rFonts w:ascii="Tahoma" w:hAnsi="Tahoma" w:cs="Tahoma"/>
          <w:sz w:val="18"/>
          <w:szCs w:val="18"/>
        </w:rPr>
      </w:pPr>
      <w:r w:rsidRPr="00E50751">
        <w:rPr>
          <w:rFonts w:ascii="Tahoma" w:hAnsi="Tahoma" w:cs="Tahoma"/>
          <w:sz w:val="18"/>
          <w:szCs w:val="18"/>
        </w:rPr>
        <w:t xml:space="preserve">“La carta que constituye el pedido con la verificación del producto y con Registro Sanitario Nº E5719408N – NAARSN para nosotros tiene la calidad de Declaración Jurada. Debemos indicar que las copias de estos certificados </w:t>
      </w:r>
      <w:r w:rsidRPr="00E50751">
        <w:rPr>
          <w:rFonts w:ascii="Tahoma" w:hAnsi="Tahoma" w:cs="Tahoma"/>
          <w:b/>
          <w:sz w:val="18"/>
          <w:szCs w:val="18"/>
          <w:u w:val="single"/>
        </w:rPr>
        <w:t>SON AUTENTICOS.</w:t>
      </w:r>
    </w:p>
    <w:p w:rsidR="00975E90" w:rsidRPr="00E50751" w:rsidRDefault="00975E90" w:rsidP="00975E90">
      <w:pPr>
        <w:pStyle w:val="Prrafodelista"/>
        <w:widowControl/>
        <w:suppressAutoHyphens w:val="0"/>
        <w:ind w:left="851" w:right="424"/>
        <w:contextualSpacing/>
        <w:jc w:val="both"/>
        <w:rPr>
          <w:rFonts w:ascii="Tahoma" w:hAnsi="Tahoma" w:cs="Tahoma"/>
          <w:sz w:val="18"/>
          <w:szCs w:val="18"/>
        </w:rPr>
      </w:pPr>
    </w:p>
    <w:tbl>
      <w:tblPr>
        <w:tblStyle w:val="Tablaconcuadrcula"/>
        <w:tblW w:w="0" w:type="auto"/>
        <w:tblInd w:w="959" w:type="dxa"/>
        <w:tblLook w:val="04A0"/>
      </w:tblPr>
      <w:tblGrid>
        <w:gridCol w:w="3688"/>
        <w:gridCol w:w="3683"/>
      </w:tblGrid>
      <w:tr w:rsidR="00975E90" w:rsidRPr="00E50751" w:rsidTr="00EB172C">
        <w:tc>
          <w:tcPr>
            <w:tcW w:w="3688" w:type="dxa"/>
          </w:tcPr>
          <w:p w:rsidR="00975E90" w:rsidRPr="00E50751" w:rsidRDefault="00975E90" w:rsidP="00EB172C">
            <w:pPr>
              <w:pStyle w:val="Prrafodelista"/>
              <w:widowControl/>
              <w:suppressAutoHyphens w:val="0"/>
              <w:ind w:left="851" w:right="424"/>
              <w:contextualSpacing/>
              <w:jc w:val="center"/>
              <w:rPr>
                <w:rFonts w:ascii="Tahoma" w:hAnsi="Tahoma" w:cs="Tahoma"/>
                <w:sz w:val="16"/>
                <w:szCs w:val="16"/>
              </w:rPr>
            </w:pPr>
            <w:r w:rsidRPr="00E50751">
              <w:rPr>
                <w:rFonts w:ascii="Tahoma" w:hAnsi="Tahoma" w:cs="Tahoma"/>
                <w:sz w:val="16"/>
                <w:szCs w:val="16"/>
              </w:rPr>
              <w:t>Nº Certificado</w:t>
            </w:r>
          </w:p>
        </w:tc>
        <w:tc>
          <w:tcPr>
            <w:tcW w:w="3683" w:type="dxa"/>
          </w:tcPr>
          <w:p w:rsidR="00975E90" w:rsidRPr="00E50751" w:rsidRDefault="00975E90" w:rsidP="00EB172C">
            <w:pPr>
              <w:pStyle w:val="Prrafodelista"/>
              <w:widowControl/>
              <w:suppressAutoHyphens w:val="0"/>
              <w:ind w:left="851" w:right="424"/>
              <w:contextualSpacing/>
              <w:jc w:val="center"/>
              <w:rPr>
                <w:rFonts w:ascii="Tahoma" w:hAnsi="Tahoma" w:cs="Tahoma"/>
                <w:sz w:val="16"/>
                <w:szCs w:val="16"/>
              </w:rPr>
            </w:pPr>
            <w:r w:rsidRPr="00E50751">
              <w:rPr>
                <w:rFonts w:ascii="Tahoma" w:hAnsi="Tahoma" w:cs="Tahoma"/>
                <w:sz w:val="16"/>
                <w:szCs w:val="16"/>
              </w:rPr>
              <w:t>Empresa</w:t>
            </w:r>
          </w:p>
        </w:tc>
      </w:tr>
      <w:tr w:rsidR="00975E90" w:rsidRPr="00E50751" w:rsidTr="00EB172C">
        <w:tc>
          <w:tcPr>
            <w:tcW w:w="3688" w:type="dxa"/>
          </w:tcPr>
          <w:p w:rsidR="00975E90" w:rsidRPr="00E50751" w:rsidRDefault="00975E90" w:rsidP="00EB172C">
            <w:pPr>
              <w:pStyle w:val="Prrafodelista"/>
              <w:widowControl/>
              <w:suppressAutoHyphens w:val="0"/>
              <w:ind w:left="851" w:right="424"/>
              <w:contextualSpacing/>
              <w:jc w:val="center"/>
              <w:rPr>
                <w:rFonts w:ascii="Tahoma" w:hAnsi="Tahoma" w:cs="Tahoma"/>
                <w:sz w:val="16"/>
                <w:szCs w:val="16"/>
              </w:rPr>
            </w:pPr>
            <w:r w:rsidRPr="00E50751">
              <w:rPr>
                <w:rFonts w:ascii="Tahoma" w:hAnsi="Tahoma" w:cs="Tahoma"/>
                <w:sz w:val="16"/>
                <w:szCs w:val="16"/>
              </w:rPr>
              <w:t>Físico Químico Nº 1645A-2009</w:t>
            </w:r>
          </w:p>
        </w:tc>
        <w:tc>
          <w:tcPr>
            <w:tcW w:w="3683" w:type="dxa"/>
          </w:tcPr>
          <w:p w:rsidR="00975E90" w:rsidRPr="00E50751" w:rsidRDefault="00975E90" w:rsidP="00EB172C">
            <w:pPr>
              <w:pStyle w:val="Prrafodelista"/>
              <w:widowControl/>
              <w:suppressAutoHyphens w:val="0"/>
              <w:ind w:left="851" w:right="424"/>
              <w:contextualSpacing/>
              <w:jc w:val="center"/>
              <w:rPr>
                <w:rFonts w:ascii="Tahoma" w:hAnsi="Tahoma" w:cs="Tahoma"/>
                <w:sz w:val="16"/>
                <w:szCs w:val="16"/>
              </w:rPr>
            </w:pPr>
            <w:r w:rsidRPr="00E50751">
              <w:rPr>
                <w:rFonts w:ascii="Tahoma" w:hAnsi="Tahoma" w:cs="Tahoma"/>
                <w:sz w:val="16"/>
                <w:szCs w:val="16"/>
              </w:rPr>
              <w:t>Agroindustria Santa María S.A.C.</w:t>
            </w:r>
          </w:p>
        </w:tc>
      </w:tr>
      <w:tr w:rsidR="00975E90" w:rsidRPr="00E50751" w:rsidTr="00EB172C">
        <w:tc>
          <w:tcPr>
            <w:tcW w:w="3688" w:type="dxa"/>
          </w:tcPr>
          <w:p w:rsidR="00975E90" w:rsidRPr="00E50751" w:rsidRDefault="00975E90" w:rsidP="00EB172C">
            <w:pPr>
              <w:pStyle w:val="Prrafodelista"/>
              <w:widowControl/>
              <w:suppressAutoHyphens w:val="0"/>
              <w:ind w:left="851" w:right="424"/>
              <w:contextualSpacing/>
              <w:jc w:val="center"/>
              <w:rPr>
                <w:rFonts w:ascii="Tahoma" w:hAnsi="Tahoma" w:cs="Tahoma"/>
                <w:sz w:val="16"/>
                <w:szCs w:val="16"/>
              </w:rPr>
            </w:pPr>
            <w:r w:rsidRPr="00E50751">
              <w:rPr>
                <w:rFonts w:ascii="Tahoma" w:hAnsi="Tahoma" w:cs="Tahoma"/>
                <w:sz w:val="16"/>
                <w:szCs w:val="16"/>
              </w:rPr>
              <w:t>Microbiología Nº 1645B-2009</w:t>
            </w:r>
          </w:p>
        </w:tc>
        <w:tc>
          <w:tcPr>
            <w:tcW w:w="3683" w:type="dxa"/>
          </w:tcPr>
          <w:p w:rsidR="00975E90" w:rsidRPr="00E50751" w:rsidRDefault="00975E90" w:rsidP="00EB172C">
            <w:pPr>
              <w:pStyle w:val="Prrafodelista"/>
              <w:widowControl/>
              <w:suppressAutoHyphens w:val="0"/>
              <w:ind w:left="851" w:right="424"/>
              <w:contextualSpacing/>
              <w:jc w:val="center"/>
              <w:rPr>
                <w:rFonts w:ascii="Tahoma" w:hAnsi="Tahoma" w:cs="Tahoma"/>
                <w:sz w:val="16"/>
                <w:szCs w:val="16"/>
              </w:rPr>
            </w:pPr>
            <w:r w:rsidRPr="00E50751">
              <w:rPr>
                <w:rFonts w:ascii="Tahoma" w:hAnsi="Tahoma" w:cs="Tahoma"/>
                <w:sz w:val="16"/>
                <w:szCs w:val="16"/>
              </w:rPr>
              <w:t>Agroindustria Santa María S.A.C.</w:t>
            </w:r>
          </w:p>
        </w:tc>
      </w:tr>
      <w:tr w:rsidR="00975E90" w:rsidRPr="00E50751" w:rsidTr="00EB172C">
        <w:tc>
          <w:tcPr>
            <w:tcW w:w="3688" w:type="dxa"/>
          </w:tcPr>
          <w:p w:rsidR="00975E90" w:rsidRPr="00E50751" w:rsidRDefault="00975E90" w:rsidP="00EB172C">
            <w:pPr>
              <w:pStyle w:val="Prrafodelista"/>
              <w:widowControl/>
              <w:suppressAutoHyphens w:val="0"/>
              <w:ind w:left="851" w:right="424"/>
              <w:contextualSpacing/>
              <w:jc w:val="center"/>
              <w:rPr>
                <w:rFonts w:ascii="Tahoma" w:hAnsi="Tahoma" w:cs="Tahoma"/>
                <w:sz w:val="16"/>
                <w:szCs w:val="16"/>
              </w:rPr>
            </w:pPr>
            <w:r w:rsidRPr="00E50751">
              <w:rPr>
                <w:rFonts w:ascii="Tahoma" w:hAnsi="Tahoma" w:cs="Tahoma"/>
                <w:sz w:val="16"/>
                <w:szCs w:val="16"/>
              </w:rPr>
              <w:t>Organoléptica Nº 1645C-2009</w:t>
            </w:r>
          </w:p>
        </w:tc>
        <w:tc>
          <w:tcPr>
            <w:tcW w:w="3683" w:type="dxa"/>
          </w:tcPr>
          <w:p w:rsidR="00975E90" w:rsidRPr="00E50751" w:rsidRDefault="00975E90" w:rsidP="00EB172C">
            <w:pPr>
              <w:pStyle w:val="Prrafodelista"/>
              <w:widowControl/>
              <w:suppressAutoHyphens w:val="0"/>
              <w:ind w:left="851" w:right="424"/>
              <w:contextualSpacing/>
              <w:jc w:val="center"/>
              <w:rPr>
                <w:rFonts w:ascii="Tahoma" w:hAnsi="Tahoma" w:cs="Tahoma"/>
                <w:sz w:val="16"/>
                <w:szCs w:val="16"/>
              </w:rPr>
            </w:pPr>
            <w:r w:rsidRPr="00E50751">
              <w:rPr>
                <w:rFonts w:ascii="Tahoma" w:hAnsi="Tahoma" w:cs="Tahoma"/>
                <w:sz w:val="16"/>
                <w:szCs w:val="16"/>
              </w:rPr>
              <w:t>Agroindustria Santa María S.A.C.</w:t>
            </w:r>
          </w:p>
        </w:tc>
      </w:tr>
    </w:tbl>
    <w:p w:rsidR="00975E90" w:rsidRPr="00E50751" w:rsidRDefault="00975E90" w:rsidP="00975E90">
      <w:pPr>
        <w:pStyle w:val="Prrafodelista"/>
        <w:ind w:left="851" w:right="424"/>
        <w:contextualSpacing/>
        <w:jc w:val="both"/>
        <w:rPr>
          <w:rFonts w:ascii="Tahoma" w:hAnsi="Tahoma" w:cs="Tahoma"/>
          <w:sz w:val="18"/>
          <w:szCs w:val="18"/>
        </w:rPr>
      </w:pPr>
    </w:p>
    <w:p w:rsidR="00975E90" w:rsidRPr="00E50751" w:rsidRDefault="00975E90" w:rsidP="00975E90">
      <w:pPr>
        <w:pStyle w:val="Prrafodelista"/>
        <w:ind w:left="851" w:right="424"/>
        <w:contextualSpacing/>
        <w:jc w:val="both"/>
        <w:rPr>
          <w:rFonts w:ascii="Tahoma" w:hAnsi="Tahoma" w:cs="Tahoma"/>
          <w:sz w:val="18"/>
          <w:szCs w:val="18"/>
        </w:rPr>
      </w:pPr>
      <w:r w:rsidRPr="00E50751">
        <w:rPr>
          <w:rFonts w:ascii="Tahoma" w:hAnsi="Tahoma" w:cs="Tahoma"/>
          <w:sz w:val="18"/>
          <w:szCs w:val="18"/>
        </w:rPr>
        <w:t>Por lo que adjuntamos dichas copias autenticadas, también adjuntamos lo siguiente; copia legalizada de la carta de la solicitud de servicio y el acta de muestreo.</w:t>
      </w:r>
    </w:p>
    <w:p w:rsidR="00975E90" w:rsidRPr="00E50751" w:rsidRDefault="00975E90" w:rsidP="00975E90">
      <w:pPr>
        <w:pStyle w:val="Prrafodelista"/>
        <w:ind w:left="851" w:right="424"/>
        <w:contextualSpacing/>
        <w:jc w:val="both"/>
        <w:rPr>
          <w:rFonts w:ascii="Tahoma" w:hAnsi="Tahoma" w:cs="Tahoma"/>
          <w:sz w:val="18"/>
          <w:szCs w:val="18"/>
        </w:rPr>
      </w:pPr>
    </w:p>
    <w:p w:rsidR="00975E90" w:rsidRPr="00E50751" w:rsidRDefault="00975E90" w:rsidP="00975E90">
      <w:pPr>
        <w:pStyle w:val="Prrafodelista"/>
        <w:ind w:left="851" w:right="424"/>
        <w:contextualSpacing/>
        <w:jc w:val="both"/>
        <w:rPr>
          <w:rFonts w:ascii="Tahoma" w:hAnsi="Tahoma" w:cs="Tahoma"/>
          <w:sz w:val="18"/>
          <w:szCs w:val="18"/>
        </w:rPr>
      </w:pPr>
      <w:r w:rsidRPr="00E50751">
        <w:rPr>
          <w:rFonts w:ascii="Tahoma" w:hAnsi="Tahoma" w:cs="Tahoma"/>
          <w:sz w:val="18"/>
          <w:szCs w:val="18"/>
        </w:rPr>
        <w:t>2.- Al respecto del punto B solicitado por su oficio debemos informar que no hemos tenido conocimiento en ningún momento de que el Registro Sanitario Nº E5719408N – NAARSN no correspondía al producto HOJUELAS DE QUINUA ENRIQUECIDA CON CEREALES, VITAMINAS Y MINERALES “GRANO DE ORO” – Producto Nacional, ya que como le informamos líneas arriba la carta de pedido de la empresa Agroindustria Santa María S.A.C y la inspección tiene para nosotros la calidad de Declaración Jurada.”</w:t>
      </w:r>
    </w:p>
    <w:p w:rsidR="00975E90" w:rsidRPr="00B1668A" w:rsidRDefault="00975E90" w:rsidP="00975E90">
      <w:pPr>
        <w:pStyle w:val="Prrafodelista"/>
        <w:rPr>
          <w:rFonts w:ascii="Tahoma" w:hAnsi="Tahoma" w:cs="Tahoma"/>
          <w:sz w:val="22"/>
          <w:szCs w:val="22"/>
          <w:lang w:eastAsia="es-PE"/>
        </w:rPr>
      </w:pPr>
    </w:p>
    <w:p w:rsidR="00975E90" w:rsidRPr="00975E90" w:rsidRDefault="00975E90" w:rsidP="00975E90">
      <w:pPr>
        <w:numPr>
          <w:ilvl w:val="0"/>
          <w:numId w:val="11"/>
        </w:numPr>
        <w:ind w:left="567" w:hanging="567"/>
        <w:jc w:val="both"/>
        <w:rPr>
          <w:rFonts w:ascii="Tahoma" w:hAnsi="Tahoma" w:cs="Tahoma"/>
          <w:sz w:val="22"/>
          <w:szCs w:val="22"/>
          <w:lang w:eastAsia="es-PE"/>
        </w:rPr>
      </w:pPr>
      <w:r w:rsidRPr="00975E90">
        <w:rPr>
          <w:rFonts w:ascii="Tahoma" w:hAnsi="Tahoma" w:cs="Tahoma"/>
          <w:sz w:val="22"/>
          <w:szCs w:val="22"/>
        </w:rPr>
        <w:t xml:space="preserve">Mediante Resolución Nº 2395-2010-TC-S1 de fecha 28 de diciembre de 2010, se dispuso imponer a la Contratista, la sanción administrativa de inhabilitación </w:t>
      </w:r>
      <w:r w:rsidRPr="00975E90">
        <w:rPr>
          <w:rFonts w:ascii="Tahoma" w:hAnsi="Tahoma" w:cs="Tahoma"/>
          <w:sz w:val="22"/>
          <w:szCs w:val="22"/>
        </w:rPr>
        <w:lastRenderedPageBreak/>
        <w:t>temporal por el periodo de doce (12) meses en sus derechos de participar en procesos de selección y contratar con el Estado, por la comisión de la infracción tipificada en el literal b) del numeral 51.1 del artículo 51 de la Ley de Contrataciones del Estado y el literal b) del numeral 1 del artículo 237 del Reglamento de la Ley de Contrataciones del Estado.</w:t>
      </w:r>
    </w:p>
    <w:p w:rsidR="00975E90" w:rsidRPr="00975E90" w:rsidRDefault="00975E90" w:rsidP="00975E90">
      <w:pPr>
        <w:pStyle w:val="Prrafodelista"/>
        <w:rPr>
          <w:rFonts w:ascii="Tahoma" w:hAnsi="Tahoma" w:cs="Tahoma"/>
          <w:sz w:val="22"/>
          <w:szCs w:val="22"/>
          <w:lang w:eastAsia="es-PE"/>
        </w:rPr>
      </w:pPr>
    </w:p>
    <w:p w:rsidR="00975E90" w:rsidRPr="00975E90" w:rsidRDefault="00975E90" w:rsidP="00975E90">
      <w:pPr>
        <w:numPr>
          <w:ilvl w:val="0"/>
          <w:numId w:val="11"/>
        </w:numPr>
        <w:ind w:left="567" w:hanging="567"/>
        <w:jc w:val="both"/>
        <w:rPr>
          <w:rFonts w:ascii="Tahoma" w:hAnsi="Tahoma" w:cs="Tahoma"/>
          <w:sz w:val="22"/>
          <w:szCs w:val="22"/>
          <w:lang w:eastAsia="es-PE"/>
        </w:rPr>
      </w:pPr>
      <w:r w:rsidRPr="00975E90">
        <w:rPr>
          <w:rFonts w:ascii="Tahoma" w:hAnsi="Tahoma" w:cs="Tahoma"/>
          <w:color w:val="000000"/>
          <w:sz w:val="22"/>
          <w:szCs w:val="22"/>
        </w:rPr>
        <w:t xml:space="preserve">Con escrito presentado el 11 de enero de 2011, la Contratista interpuso recurso de reconsideración contra la Resolución Nº </w:t>
      </w:r>
      <w:r w:rsidRPr="00975E90">
        <w:rPr>
          <w:rFonts w:ascii="Tahoma" w:hAnsi="Tahoma" w:cs="Tahoma"/>
          <w:sz w:val="22"/>
          <w:szCs w:val="22"/>
        </w:rPr>
        <w:t>2395-2010-TC-S1 de fecha 28 de diciembre de 2010</w:t>
      </w:r>
      <w:r w:rsidRPr="00975E90">
        <w:rPr>
          <w:rFonts w:ascii="Tahoma" w:hAnsi="Tahoma" w:cs="Tahoma"/>
          <w:color w:val="000000"/>
          <w:sz w:val="22"/>
          <w:szCs w:val="22"/>
        </w:rPr>
        <w:t>, bajo los siguientes fundamentos:</w:t>
      </w:r>
    </w:p>
    <w:p w:rsidR="00975E90" w:rsidRPr="00975E90" w:rsidRDefault="00975E90" w:rsidP="00975E90">
      <w:pPr>
        <w:jc w:val="both"/>
        <w:rPr>
          <w:rFonts w:ascii="Tahoma" w:hAnsi="Tahoma" w:cs="Tahoma"/>
          <w:color w:val="000000"/>
          <w:sz w:val="22"/>
          <w:szCs w:val="22"/>
        </w:rPr>
      </w:pPr>
    </w:p>
    <w:p w:rsidR="00975E90" w:rsidRPr="00975E90" w:rsidRDefault="00975E90" w:rsidP="00975E90">
      <w:pPr>
        <w:numPr>
          <w:ilvl w:val="0"/>
          <w:numId w:val="3"/>
        </w:numPr>
        <w:tabs>
          <w:tab w:val="clear" w:pos="720"/>
          <w:tab w:val="num" w:pos="900"/>
        </w:tabs>
        <w:ind w:left="900"/>
        <w:jc w:val="both"/>
        <w:rPr>
          <w:rFonts w:ascii="Tahoma" w:hAnsi="Tahoma" w:cs="Tahoma"/>
          <w:sz w:val="22"/>
          <w:szCs w:val="22"/>
        </w:rPr>
      </w:pPr>
      <w:r w:rsidRPr="00975E90">
        <w:rPr>
          <w:rFonts w:ascii="Tahoma" w:hAnsi="Tahoma" w:cs="Tahoma"/>
          <w:sz w:val="22"/>
          <w:szCs w:val="22"/>
        </w:rPr>
        <w:t>Teniendo en consideración que en el proceso de exoneración Nº 02-2009-MDI/UL, ítem Nº 02, cuyas bases administrativas en el punto 7 se consignó respecto a dicho ítem, que se aceptará el registro sanitario de productos cuya denominación sea distinta al objeto de la convocatoria, siempre que se adjunte la solicitud o declaración jurada presentada ante DIGESA, bases que forman parte del contrato, y al aceptarse en dicho proceso el registro sanitario Nº E5719408N/NAARSN con denominación distinta al producto convocado, como consecuencia de ello, en aplicación del artículo 142 del Reglamento, dicha aceptación es obligatorio entre las partes.</w:t>
      </w:r>
    </w:p>
    <w:p w:rsidR="00975E90" w:rsidRPr="00975E90" w:rsidRDefault="00975E90" w:rsidP="00975E90">
      <w:pPr>
        <w:ind w:left="900"/>
        <w:jc w:val="both"/>
        <w:rPr>
          <w:rFonts w:ascii="Tahoma" w:hAnsi="Tahoma" w:cs="Tahoma"/>
          <w:sz w:val="22"/>
          <w:szCs w:val="22"/>
        </w:rPr>
      </w:pPr>
    </w:p>
    <w:p w:rsidR="00975E90" w:rsidRPr="00975E90" w:rsidRDefault="00975E90" w:rsidP="00975E90">
      <w:pPr>
        <w:numPr>
          <w:ilvl w:val="0"/>
          <w:numId w:val="3"/>
        </w:numPr>
        <w:tabs>
          <w:tab w:val="clear" w:pos="720"/>
          <w:tab w:val="num" w:pos="900"/>
        </w:tabs>
        <w:ind w:left="900"/>
        <w:jc w:val="both"/>
        <w:rPr>
          <w:rFonts w:ascii="Tahoma" w:hAnsi="Tahoma" w:cs="Tahoma"/>
          <w:sz w:val="22"/>
          <w:szCs w:val="22"/>
        </w:rPr>
      </w:pPr>
      <w:r w:rsidRPr="00975E90">
        <w:rPr>
          <w:rFonts w:ascii="Tahoma" w:hAnsi="Tahoma" w:cs="Tahoma"/>
          <w:sz w:val="22"/>
          <w:szCs w:val="22"/>
        </w:rPr>
        <w:t>En tal sentido, si se acepta el mencionado registro sanitario, y no están obligados a presentar o gestionar otro registro sanitario para el producto ofertado, no se puede exigir que se utilice en las bolsas de entrega del producto, otro registro sanitario distinto al aceptado. Asimismo, la entrega del producto es para el Programa del Vaso de Leche, y no para comercializar a terceros, consignándose en las bolsas de entrega que se encuentra prohibida su comercialización, por lo tanto, se acredita que se ha incurrido en un error de interpretación al pretender imputarle como infracción comercializar un producto con una denominación distinta a la que figura en su registro sanitario.</w:t>
      </w:r>
    </w:p>
    <w:p w:rsidR="00975E90" w:rsidRPr="00975E90" w:rsidRDefault="00975E90" w:rsidP="00975E90">
      <w:pPr>
        <w:pStyle w:val="Prrafodelista"/>
        <w:rPr>
          <w:rFonts w:ascii="Tahoma" w:hAnsi="Tahoma" w:cs="Tahoma"/>
          <w:sz w:val="22"/>
          <w:szCs w:val="22"/>
        </w:rPr>
      </w:pPr>
    </w:p>
    <w:p w:rsidR="00975E90" w:rsidRPr="00975E90" w:rsidRDefault="00975E90" w:rsidP="00975E90">
      <w:pPr>
        <w:numPr>
          <w:ilvl w:val="0"/>
          <w:numId w:val="3"/>
        </w:numPr>
        <w:tabs>
          <w:tab w:val="clear" w:pos="720"/>
          <w:tab w:val="num" w:pos="900"/>
        </w:tabs>
        <w:ind w:left="900"/>
        <w:jc w:val="both"/>
        <w:rPr>
          <w:rFonts w:ascii="Tahoma" w:hAnsi="Tahoma" w:cs="Tahoma"/>
          <w:sz w:val="22"/>
          <w:szCs w:val="22"/>
        </w:rPr>
      </w:pPr>
      <w:r w:rsidRPr="00975E90">
        <w:rPr>
          <w:rFonts w:ascii="Tahoma" w:hAnsi="Tahoma" w:cs="Tahoma"/>
          <w:sz w:val="22"/>
          <w:szCs w:val="22"/>
        </w:rPr>
        <w:t>Asimismo, señaló que lo consignado en los numeral 17 y 18 de la fundamentación son incongruentes y carece de lógica alguna, transgrediendo la motivación de la resolución impugnada, violando el debido proceso contemplado en el artículo 139 inciso 3 de la Constitución, toda vez que por un lado se acepta el registro sanitario en las bases, la cual forma parte del contrato y luego se sanciona por usar el registro sanitario aceptado en la bolsa de entrega del producto, es decir que se les otorgó la buena pro a su producto ofertado, aceptando su registro sanitario, sin embargo, contradiciendo las Bases y el contrato, se les sanciona con una infracción por usar el registro sanitario aceptado.</w:t>
      </w:r>
    </w:p>
    <w:p w:rsidR="00975E90" w:rsidRPr="00975E90" w:rsidRDefault="00975E90" w:rsidP="00975E90">
      <w:pPr>
        <w:pStyle w:val="Prrafodelista"/>
        <w:rPr>
          <w:rFonts w:ascii="Tahoma" w:hAnsi="Tahoma" w:cs="Tahoma"/>
          <w:sz w:val="22"/>
          <w:szCs w:val="22"/>
          <w:lang w:val="es-ES"/>
        </w:rPr>
      </w:pPr>
    </w:p>
    <w:p w:rsidR="00975E90" w:rsidRPr="00975E90" w:rsidRDefault="00975E90" w:rsidP="00975E90">
      <w:pPr>
        <w:numPr>
          <w:ilvl w:val="0"/>
          <w:numId w:val="3"/>
        </w:numPr>
        <w:tabs>
          <w:tab w:val="clear" w:pos="720"/>
          <w:tab w:val="num" w:pos="900"/>
        </w:tabs>
        <w:ind w:left="900"/>
        <w:jc w:val="both"/>
        <w:rPr>
          <w:rFonts w:ascii="Tahoma" w:hAnsi="Tahoma" w:cs="Tahoma"/>
          <w:sz w:val="22"/>
          <w:szCs w:val="22"/>
        </w:rPr>
      </w:pPr>
      <w:r w:rsidRPr="00975E90">
        <w:rPr>
          <w:rFonts w:ascii="Tahoma" w:hAnsi="Tahoma" w:cs="Tahoma"/>
          <w:sz w:val="22"/>
          <w:szCs w:val="22"/>
        </w:rPr>
        <w:t xml:space="preserve">Se le otorgó la Buena Pro de dicho proceso, luego de una exhaustiva evaluación por el Comité Especial, en el cual se determinó que su propuesta era la mejor, al acreditar cada uno de los requisitos establecidos en las bases </w:t>
      </w:r>
      <w:r w:rsidRPr="00975E90">
        <w:rPr>
          <w:rFonts w:ascii="Tahoma" w:hAnsi="Tahoma" w:cs="Tahoma"/>
          <w:sz w:val="22"/>
          <w:szCs w:val="22"/>
        </w:rPr>
        <w:lastRenderedPageBreak/>
        <w:t>administrativas; así el producto ofertado tenga diferente nombre o denominación, toda vez que cumplió con la composición cualitativa y cuantitativa requerida, entregando a la Entidad, posteriormente, el producto de acuerdo al contrato.</w:t>
      </w:r>
    </w:p>
    <w:p w:rsidR="00975E90" w:rsidRPr="00975E90" w:rsidRDefault="00975E90" w:rsidP="00975E90">
      <w:pPr>
        <w:pStyle w:val="Prrafodelista"/>
        <w:rPr>
          <w:rFonts w:ascii="Tahoma" w:hAnsi="Tahoma" w:cs="Tahoma"/>
          <w:sz w:val="22"/>
          <w:szCs w:val="22"/>
        </w:rPr>
      </w:pPr>
    </w:p>
    <w:p w:rsidR="00975E90" w:rsidRPr="00975E90" w:rsidRDefault="00975E90" w:rsidP="00975E90">
      <w:pPr>
        <w:numPr>
          <w:ilvl w:val="0"/>
          <w:numId w:val="3"/>
        </w:numPr>
        <w:tabs>
          <w:tab w:val="clear" w:pos="720"/>
          <w:tab w:val="num" w:pos="900"/>
        </w:tabs>
        <w:ind w:left="900"/>
        <w:jc w:val="both"/>
        <w:rPr>
          <w:rFonts w:ascii="Tahoma" w:hAnsi="Tahoma" w:cs="Tahoma"/>
          <w:sz w:val="22"/>
          <w:szCs w:val="22"/>
        </w:rPr>
      </w:pPr>
      <w:r w:rsidRPr="00975E90">
        <w:rPr>
          <w:rFonts w:ascii="Tahoma" w:hAnsi="Tahoma" w:cs="Tahoma"/>
          <w:sz w:val="22"/>
          <w:szCs w:val="22"/>
        </w:rPr>
        <w:t>Asimismo, cabe agregar que al acogerse la observación de PROALPESA, se aceptaba la presentación del registro sanitario de un producto cuya denominación no es exactamente igual a la del producto requerido en las Bases, siempre y cuando comparta la misma composición cualitativa de ingredientes básicos que el producto solicitado en las Bases, sin establecerse que se tiene que sacar un registro sanitario distinto cuando la denominación del producto no es exactamente igual a la del producto requerido en las Bases, sin embargo, de manera sesgada se consignó en la resolución recurrida, que no se puede comercializar un producto que cuenta con una denominación en Registro Sanitario con otra distinta, obviándose deliberadamente que no ha comercializado el producto a terceros, existiendo rótulos de la bosa del producto, prohibiendo su comercialización.</w:t>
      </w:r>
    </w:p>
    <w:p w:rsidR="00975E90" w:rsidRPr="00975E90" w:rsidRDefault="00975E90" w:rsidP="00975E90">
      <w:pPr>
        <w:pStyle w:val="Prrafodelista"/>
        <w:rPr>
          <w:rFonts w:ascii="Tahoma" w:hAnsi="Tahoma" w:cs="Tahoma"/>
          <w:sz w:val="22"/>
          <w:szCs w:val="22"/>
        </w:rPr>
      </w:pPr>
    </w:p>
    <w:p w:rsidR="00975E90" w:rsidRPr="00975E90" w:rsidRDefault="00975E90" w:rsidP="00975E90">
      <w:pPr>
        <w:numPr>
          <w:ilvl w:val="0"/>
          <w:numId w:val="3"/>
        </w:numPr>
        <w:tabs>
          <w:tab w:val="clear" w:pos="720"/>
          <w:tab w:val="num" w:pos="900"/>
        </w:tabs>
        <w:ind w:left="900"/>
        <w:jc w:val="both"/>
        <w:rPr>
          <w:rFonts w:ascii="Tahoma" w:hAnsi="Tahoma" w:cs="Tahoma"/>
          <w:sz w:val="22"/>
          <w:szCs w:val="22"/>
        </w:rPr>
      </w:pPr>
      <w:r w:rsidRPr="00975E90">
        <w:rPr>
          <w:rFonts w:ascii="Tahoma" w:hAnsi="Tahoma" w:cs="Tahoma"/>
          <w:sz w:val="22"/>
          <w:szCs w:val="22"/>
        </w:rPr>
        <w:t>En tal sentido, no es cierto que haya consignado un registro sanitario distinto al producto entregado, todo lo contrario, consignaron el número de registro sanitario a la composición requerida y, si bien es cierto, el nombre del producto es distinta, no es menos cierto que ha sido aceptada por la Entidad, toda vez que comparte la misma composición cualitativa de insumos.</w:t>
      </w:r>
    </w:p>
    <w:p w:rsidR="00975E90" w:rsidRPr="00975E90" w:rsidRDefault="00975E90" w:rsidP="00975E90">
      <w:pPr>
        <w:pStyle w:val="Prrafodelista"/>
        <w:rPr>
          <w:rFonts w:ascii="Tahoma" w:hAnsi="Tahoma" w:cs="Tahoma"/>
          <w:sz w:val="22"/>
          <w:szCs w:val="22"/>
          <w:lang w:val="es-ES"/>
        </w:rPr>
      </w:pPr>
    </w:p>
    <w:p w:rsidR="00975E90" w:rsidRPr="00975E90" w:rsidRDefault="00975E90" w:rsidP="00975E90">
      <w:pPr>
        <w:numPr>
          <w:ilvl w:val="0"/>
          <w:numId w:val="3"/>
        </w:numPr>
        <w:tabs>
          <w:tab w:val="clear" w:pos="720"/>
          <w:tab w:val="num" w:pos="900"/>
        </w:tabs>
        <w:ind w:left="900"/>
        <w:jc w:val="both"/>
        <w:rPr>
          <w:rFonts w:ascii="Tahoma" w:hAnsi="Tahoma" w:cs="Tahoma"/>
          <w:sz w:val="22"/>
          <w:szCs w:val="22"/>
        </w:rPr>
      </w:pPr>
      <w:r w:rsidRPr="00975E90">
        <w:rPr>
          <w:rFonts w:ascii="Tahoma" w:eastAsia="Calibri" w:hAnsi="Tahoma" w:cs="Tahoma"/>
          <w:sz w:val="22"/>
          <w:szCs w:val="22"/>
          <w:lang w:eastAsia="en-US"/>
        </w:rPr>
        <w:t>Por otro lado, de las actuaciones realizadas por la DIRECCIÓN GENERAL DE SALUD - DIGESA, se emitió el Informe Nº 2777-2009/DHAZ/DIGESA, en el cual se concluyó que el Registro Sanitario Nº E5719408N/NAARSN, no corresponde al producto hojuela de quinua enriquecida con cereales, vitaminas y minerales Grano de Oro, según lo verificado en la base de datos, no obstante ello, tal como se señaló anteriormente, las bases administrativas establecían que se podía ofertar productos con diferentes denominación, siempre y cuando ella cumpla con los requerimientos técnicos mínimos y que contengan la composición cualitativa y los aditivos de vitaminas y minerales requerida por la ración del Programa del Vaso de Leche; sin embargo, dicha información no fue proporcionada a la DIRECCIÓN GENERAL DE SALUD – DIGESA, toda vez que a través del Auto Directoral Nº 229-2009/DHAZ/DIGESA/SA, les concedió un plazo de 5 días útiles para efectuar sus descargos, por lo que demuestra que no ha tenido en cuenta dichos argumentos para emitir el informe, acreditándose que lo señalado en el acotado informe no es una conclusión final, más aun, teniendo en consideración que mediante escritos de 23 de noviembre del 2009 y 14 de setiembre del 2010, presentó sus descargos para que se deje sin efecto el Informe Nº 2777-2009/DHAZ/DIGESA, encontrándose pendiente de resolver a la fecha</w:t>
      </w:r>
    </w:p>
    <w:p w:rsidR="00975E90" w:rsidRDefault="00975E90" w:rsidP="00975E90">
      <w:pPr>
        <w:ind w:left="900"/>
        <w:jc w:val="both"/>
        <w:rPr>
          <w:rFonts w:ascii="Tahoma" w:hAnsi="Tahoma" w:cs="Tahoma"/>
          <w:sz w:val="22"/>
          <w:szCs w:val="22"/>
        </w:rPr>
      </w:pPr>
    </w:p>
    <w:p w:rsidR="00975E90" w:rsidRDefault="00975E90" w:rsidP="00975E90">
      <w:pPr>
        <w:ind w:left="900"/>
        <w:jc w:val="both"/>
        <w:rPr>
          <w:rFonts w:ascii="Tahoma" w:hAnsi="Tahoma" w:cs="Tahoma"/>
          <w:sz w:val="22"/>
          <w:szCs w:val="22"/>
        </w:rPr>
      </w:pPr>
    </w:p>
    <w:p w:rsidR="00975E90" w:rsidRPr="00975E90" w:rsidRDefault="00975E90" w:rsidP="00975E90">
      <w:pPr>
        <w:ind w:left="900"/>
        <w:jc w:val="both"/>
        <w:rPr>
          <w:rFonts w:ascii="Tahoma" w:hAnsi="Tahoma" w:cs="Tahoma"/>
          <w:sz w:val="22"/>
          <w:szCs w:val="22"/>
        </w:rPr>
      </w:pPr>
    </w:p>
    <w:p w:rsidR="00975E90" w:rsidRPr="00975E90" w:rsidRDefault="00975E90" w:rsidP="00975E90">
      <w:pPr>
        <w:numPr>
          <w:ilvl w:val="0"/>
          <w:numId w:val="3"/>
        </w:numPr>
        <w:tabs>
          <w:tab w:val="clear" w:pos="720"/>
          <w:tab w:val="num" w:pos="900"/>
        </w:tabs>
        <w:ind w:left="900"/>
        <w:jc w:val="both"/>
        <w:rPr>
          <w:rFonts w:ascii="Tahoma" w:hAnsi="Tahoma" w:cs="Tahoma"/>
          <w:sz w:val="22"/>
          <w:szCs w:val="22"/>
        </w:rPr>
      </w:pPr>
      <w:r w:rsidRPr="00975E90">
        <w:rPr>
          <w:rFonts w:ascii="Tahoma" w:eastAsia="Calibri" w:hAnsi="Tahoma" w:cs="Tahoma"/>
          <w:sz w:val="22"/>
          <w:szCs w:val="22"/>
          <w:lang w:eastAsia="en-US"/>
        </w:rPr>
        <w:t>Así también, se debe considerar que la Entidad incurrió en error material, toda vez que de la lectura de las especificaciones técnicas de las Bases Administrativas de la Exoneración Nº 002-2009-MDI/UL, se consignó que el ítem Nº 02, es para la adquisición de “Hojuela de quinua enriquecida con cereales, vitamina y minerales” y no como maliciosamente se señaló en el Informe Técnico Legal Nº 031-2010-UAL/GM/MDI, en el cual se indicó que la convocatoria era para la adquisición de “Hojuela de quinua enriquecida con vitamina y minerales”; por lo tanto, en los documentos presentados en la propuesta técnica, se precisa que el producto ofertado es “Hojuela de quinua enriquecida con cereales, vitamina y minerales”, de acuerdo a los formatos y anexos de las Bases y, además, dicho producto también ha sido identificado en los certificados de calidad entregados.</w:t>
      </w:r>
    </w:p>
    <w:p w:rsidR="00975E90" w:rsidRPr="00975E90" w:rsidRDefault="00975E90" w:rsidP="00975E90">
      <w:pPr>
        <w:pStyle w:val="Prrafodelista"/>
        <w:rPr>
          <w:rFonts w:ascii="Tahoma" w:hAnsi="Tahoma" w:cs="Tahoma"/>
          <w:sz w:val="22"/>
          <w:szCs w:val="22"/>
        </w:rPr>
      </w:pPr>
    </w:p>
    <w:p w:rsidR="00975E90" w:rsidRPr="00975E90" w:rsidRDefault="00975E90" w:rsidP="00975E90">
      <w:pPr>
        <w:numPr>
          <w:ilvl w:val="0"/>
          <w:numId w:val="3"/>
        </w:numPr>
        <w:tabs>
          <w:tab w:val="clear" w:pos="720"/>
          <w:tab w:val="num" w:pos="900"/>
        </w:tabs>
        <w:ind w:left="900"/>
        <w:jc w:val="both"/>
        <w:rPr>
          <w:rFonts w:ascii="Tahoma" w:hAnsi="Tahoma" w:cs="Tahoma"/>
          <w:sz w:val="22"/>
          <w:szCs w:val="22"/>
        </w:rPr>
      </w:pPr>
      <w:r w:rsidRPr="00975E90">
        <w:rPr>
          <w:rFonts w:ascii="Tahoma" w:hAnsi="Tahoma" w:cs="Tahoma"/>
          <w:sz w:val="22"/>
          <w:szCs w:val="22"/>
        </w:rPr>
        <w:t>Finalmente, cabe precisar que en el trámite seguido ante DIGESA, se le imputa la infracción de consignar en el rotulado un número de registro sanitario que no corresponde, es decir por inexactitud, mientras que en el presente procedimiento, se les sancionó por una inexactitud contenida en la bolsa de entrega del producto, al haber consignado un número de registro sanitario que no corresponde al producto, por lo que, el presente procedimiento, estaría transgrediendo el principio Non Bis in Idem, al aplicarse dos sanciones administrativas por el mismo hecho, al haberse consignado en las bolsas un producto con registro sanitario con distinta denominación o que no corresponde al producto.</w:t>
      </w:r>
    </w:p>
    <w:p w:rsidR="00975E90" w:rsidRPr="00975E90" w:rsidRDefault="00975E90" w:rsidP="00975E90">
      <w:pPr>
        <w:ind w:left="900"/>
        <w:jc w:val="both"/>
        <w:rPr>
          <w:rFonts w:ascii="Tahoma" w:hAnsi="Tahoma" w:cs="Tahoma"/>
          <w:sz w:val="22"/>
          <w:szCs w:val="22"/>
        </w:rPr>
      </w:pPr>
    </w:p>
    <w:p w:rsidR="00975E90" w:rsidRPr="00975E90" w:rsidRDefault="00975E90" w:rsidP="00975E90">
      <w:pPr>
        <w:numPr>
          <w:ilvl w:val="0"/>
          <w:numId w:val="11"/>
        </w:numPr>
        <w:ind w:left="567" w:hanging="567"/>
        <w:jc w:val="both"/>
        <w:rPr>
          <w:rFonts w:ascii="Tahoma" w:hAnsi="Tahoma" w:cs="Tahoma"/>
          <w:sz w:val="22"/>
          <w:szCs w:val="22"/>
          <w:lang w:eastAsia="es-PE"/>
        </w:rPr>
      </w:pPr>
      <w:r w:rsidRPr="00975E90">
        <w:rPr>
          <w:rFonts w:ascii="Tahoma" w:hAnsi="Tahoma" w:cs="Tahoma"/>
          <w:sz w:val="22"/>
          <w:szCs w:val="22"/>
        </w:rPr>
        <w:t>Mediante decreto de fecha 12 de enero de 2011, se admitió a trámite el recurso de reconsideración interpuesto y se remitió el expediente a la Primera Sala del Tribunal, para su pronunciamiento correspondiente.</w:t>
      </w:r>
    </w:p>
    <w:p w:rsidR="00975E90" w:rsidRPr="00975E90" w:rsidRDefault="00975E90" w:rsidP="00975E90">
      <w:pPr>
        <w:ind w:left="567"/>
        <w:jc w:val="both"/>
        <w:rPr>
          <w:rFonts w:ascii="Tahoma" w:hAnsi="Tahoma" w:cs="Tahoma"/>
          <w:sz w:val="22"/>
          <w:szCs w:val="22"/>
          <w:lang w:eastAsia="es-PE"/>
        </w:rPr>
      </w:pPr>
    </w:p>
    <w:p w:rsidR="00975E90" w:rsidRPr="00975E90" w:rsidRDefault="00975E90" w:rsidP="00975E90">
      <w:pPr>
        <w:numPr>
          <w:ilvl w:val="0"/>
          <w:numId w:val="11"/>
        </w:numPr>
        <w:ind w:left="567" w:hanging="567"/>
        <w:jc w:val="both"/>
        <w:rPr>
          <w:rFonts w:ascii="Tahoma" w:hAnsi="Tahoma" w:cs="Tahoma"/>
          <w:sz w:val="22"/>
          <w:szCs w:val="22"/>
          <w:lang w:eastAsia="es-PE"/>
        </w:rPr>
      </w:pPr>
      <w:r w:rsidRPr="00975E90">
        <w:rPr>
          <w:rFonts w:ascii="Tahoma" w:eastAsia="MS Mincho" w:hAnsi="Tahoma" w:cs="Tahoma"/>
          <w:color w:val="000000" w:themeColor="text1"/>
          <w:sz w:val="22"/>
          <w:szCs w:val="22"/>
        </w:rPr>
        <w:t>Con decreto de fecha 18 de enero de 2011, se programó Audiencia Pública para el 24 de enero de 2011.</w:t>
      </w:r>
    </w:p>
    <w:p w:rsidR="00975E90" w:rsidRPr="00975E90" w:rsidRDefault="00975E90" w:rsidP="00975E90">
      <w:pPr>
        <w:pStyle w:val="Prrafodelista"/>
        <w:rPr>
          <w:rFonts w:ascii="Tahoma" w:hAnsi="Tahoma" w:cs="Tahoma"/>
          <w:sz w:val="22"/>
          <w:szCs w:val="22"/>
          <w:lang w:eastAsia="es-PE"/>
        </w:rPr>
      </w:pPr>
    </w:p>
    <w:p w:rsidR="00975E90" w:rsidRPr="00975E90" w:rsidRDefault="00975E90" w:rsidP="00975E90">
      <w:pPr>
        <w:numPr>
          <w:ilvl w:val="0"/>
          <w:numId w:val="11"/>
        </w:numPr>
        <w:ind w:left="567" w:hanging="567"/>
        <w:jc w:val="both"/>
        <w:rPr>
          <w:rFonts w:ascii="Tahoma" w:hAnsi="Tahoma" w:cs="Tahoma"/>
          <w:sz w:val="22"/>
          <w:szCs w:val="22"/>
          <w:lang w:eastAsia="es-PE"/>
        </w:rPr>
      </w:pPr>
      <w:r w:rsidRPr="00975E90">
        <w:rPr>
          <w:rFonts w:ascii="Tahoma" w:hAnsi="Tahoma" w:cs="Tahoma"/>
          <w:sz w:val="22"/>
          <w:szCs w:val="22"/>
          <w:lang w:eastAsia="es-PE"/>
        </w:rPr>
        <w:t>Con fecha 24 de enero de 2011, se frustró la Audiencia Pública programada, por inasistencia de las partes.</w:t>
      </w:r>
    </w:p>
    <w:p w:rsidR="00975E90" w:rsidRPr="00975E90" w:rsidRDefault="00975E90" w:rsidP="00975E90">
      <w:pPr>
        <w:jc w:val="both"/>
        <w:rPr>
          <w:rFonts w:ascii="Tahoma" w:hAnsi="Tahoma" w:cs="Tahoma"/>
          <w:color w:val="000000" w:themeColor="text1"/>
          <w:sz w:val="22"/>
          <w:szCs w:val="22"/>
          <w:lang w:val="es-ES_tradnl" w:eastAsia="es-PE"/>
        </w:rPr>
      </w:pPr>
    </w:p>
    <w:p w:rsidR="00975E90" w:rsidRPr="00975E90" w:rsidRDefault="00975E90" w:rsidP="00975E90">
      <w:pPr>
        <w:pStyle w:val="Prrafodelista"/>
        <w:numPr>
          <w:ilvl w:val="0"/>
          <w:numId w:val="1"/>
        </w:numPr>
        <w:ind w:left="567" w:hanging="283"/>
        <w:rPr>
          <w:rFonts w:ascii="Tahoma" w:hAnsi="Tahoma" w:cs="Tahoma"/>
          <w:b/>
          <w:sz w:val="22"/>
          <w:szCs w:val="22"/>
        </w:rPr>
      </w:pPr>
      <w:r w:rsidRPr="00975E90">
        <w:rPr>
          <w:rFonts w:ascii="Tahoma" w:hAnsi="Tahoma" w:cs="Tahoma"/>
          <w:b/>
          <w:sz w:val="22"/>
          <w:szCs w:val="22"/>
        </w:rPr>
        <w:t>FUNDAMENTACIÓN</w:t>
      </w:r>
    </w:p>
    <w:p w:rsidR="00975E90" w:rsidRPr="00975E90" w:rsidRDefault="00975E90" w:rsidP="00975E90">
      <w:pPr>
        <w:ind w:left="426"/>
        <w:jc w:val="both"/>
        <w:rPr>
          <w:rFonts w:ascii="Tahoma" w:hAnsi="Tahoma" w:cs="Tahoma"/>
          <w:sz w:val="22"/>
          <w:szCs w:val="22"/>
          <w:lang w:eastAsia="es-PE"/>
        </w:rPr>
      </w:pPr>
    </w:p>
    <w:p w:rsidR="00975E90" w:rsidRPr="00975E90" w:rsidRDefault="00975E90" w:rsidP="00975E90">
      <w:pPr>
        <w:pStyle w:val="Textoindependiente"/>
        <w:widowControl w:val="0"/>
        <w:numPr>
          <w:ilvl w:val="0"/>
          <w:numId w:val="2"/>
        </w:numPr>
        <w:tabs>
          <w:tab w:val="clear" w:pos="1080"/>
          <w:tab w:val="left" w:pos="0"/>
        </w:tabs>
        <w:suppressAutoHyphens/>
        <w:spacing w:after="0"/>
        <w:ind w:left="567" w:hanging="567"/>
        <w:jc w:val="both"/>
        <w:rPr>
          <w:rFonts w:ascii="Tahoma" w:hAnsi="Tahoma" w:cs="Tahoma"/>
          <w:sz w:val="22"/>
          <w:szCs w:val="22"/>
        </w:rPr>
      </w:pPr>
      <w:r w:rsidRPr="00975E90">
        <w:rPr>
          <w:rFonts w:ascii="Tahoma" w:hAnsi="Tahoma" w:cs="Tahoma"/>
          <w:sz w:val="22"/>
          <w:szCs w:val="22"/>
        </w:rPr>
        <w:t>El recurso de reconsideración en los procedimientos administrativos sancionadores a cargo del Tribunal ha sido regulado en el artículo 249 del Reglamento de la Ley de Contrataciones del Estado, aprobado por Decreto Supremo  № 184-2008-EF, a cuyo tenor aquél debe ser interpuesto dentro de los cinco días hábiles siguientes de la notificación o la publicación de la resolución que impone la sanción y resuelto en el término de quince días hábiles improrrogables desde su presentación, sin observaciones o subsanado el recurso.</w:t>
      </w:r>
    </w:p>
    <w:p w:rsidR="00975E90" w:rsidRDefault="00975E90" w:rsidP="00975E90">
      <w:pPr>
        <w:pStyle w:val="Textoindependiente"/>
        <w:widowControl w:val="0"/>
        <w:tabs>
          <w:tab w:val="left" w:pos="0"/>
        </w:tabs>
        <w:suppressAutoHyphens/>
        <w:spacing w:after="0"/>
        <w:ind w:left="567"/>
        <w:jc w:val="both"/>
        <w:rPr>
          <w:rFonts w:ascii="Tahoma" w:hAnsi="Tahoma" w:cs="Tahoma"/>
          <w:sz w:val="22"/>
          <w:szCs w:val="22"/>
        </w:rPr>
      </w:pPr>
    </w:p>
    <w:p w:rsidR="00975E90" w:rsidRPr="00975E90" w:rsidRDefault="00975E90" w:rsidP="00975E90">
      <w:pPr>
        <w:pStyle w:val="Textoindependiente"/>
        <w:widowControl w:val="0"/>
        <w:tabs>
          <w:tab w:val="left" w:pos="0"/>
        </w:tabs>
        <w:suppressAutoHyphens/>
        <w:spacing w:after="0"/>
        <w:ind w:left="567"/>
        <w:jc w:val="both"/>
        <w:rPr>
          <w:rFonts w:ascii="Tahoma" w:hAnsi="Tahoma" w:cs="Tahoma"/>
          <w:sz w:val="22"/>
          <w:szCs w:val="22"/>
        </w:rPr>
      </w:pPr>
    </w:p>
    <w:p w:rsidR="00975E90" w:rsidRPr="00975E90" w:rsidRDefault="00975E90" w:rsidP="00975E90">
      <w:pPr>
        <w:pStyle w:val="Textoindependiente"/>
        <w:widowControl w:val="0"/>
        <w:numPr>
          <w:ilvl w:val="0"/>
          <w:numId w:val="2"/>
        </w:numPr>
        <w:tabs>
          <w:tab w:val="clear" w:pos="1080"/>
          <w:tab w:val="left" w:pos="0"/>
        </w:tabs>
        <w:suppressAutoHyphens/>
        <w:spacing w:after="0"/>
        <w:ind w:left="567" w:hanging="567"/>
        <w:jc w:val="both"/>
        <w:rPr>
          <w:rFonts w:ascii="Tahoma" w:hAnsi="Tahoma" w:cs="Tahoma"/>
          <w:sz w:val="22"/>
          <w:szCs w:val="22"/>
        </w:rPr>
      </w:pPr>
      <w:r w:rsidRPr="00975E90">
        <w:rPr>
          <w:rFonts w:ascii="Tahoma" w:hAnsi="Tahoma" w:cs="Tahoma"/>
          <w:sz w:val="22"/>
          <w:szCs w:val="22"/>
        </w:rPr>
        <w:t xml:space="preserve">En el caso de autos, el Recurrente ha interpuesto recurso de reconsideración contra la Resolución </w:t>
      </w:r>
      <w:r w:rsidRPr="00975E90">
        <w:rPr>
          <w:rFonts w:ascii="Tahoma" w:hAnsi="Tahoma" w:cs="Tahoma"/>
          <w:sz w:val="22"/>
          <w:szCs w:val="22"/>
          <w:lang w:val="es-ES_tradnl"/>
        </w:rPr>
        <w:t xml:space="preserve">№ </w:t>
      </w:r>
      <w:r w:rsidRPr="00975E90">
        <w:rPr>
          <w:rFonts w:ascii="Tahoma" w:hAnsi="Tahoma" w:cs="Tahoma"/>
          <w:sz w:val="22"/>
          <w:szCs w:val="22"/>
        </w:rPr>
        <w:t>2395-2010-TC-S1 del 28 de diciembre de 2010, mediante la cual el Tribunal le impuso sanción administrativa de inhabilitación temporal por el periodo de doce (12) meses en sus derechos para participar en procesos de selección y contratar con el Estado, por haber incurrido en la infracción tipificada en el literal i) del artículo 51.1 de la Ley de Contrataciones del Estado aprobado mediante Decreto Legislativo Nº 1017, en adelante la Ley; y en el literal i) numeral 1 del artículo 237 del Reglamento de la Ley de de Contrataciones del Estado, aprobado mediante Decreto Supremo Nº 184-2008-EF, en adelante el Reglamento.</w:t>
      </w:r>
    </w:p>
    <w:p w:rsidR="00975E90" w:rsidRPr="00975E90" w:rsidRDefault="00975E90" w:rsidP="00975E90">
      <w:pPr>
        <w:pStyle w:val="Textoindependiente"/>
        <w:widowControl w:val="0"/>
        <w:tabs>
          <w:tab w:val="left" w:pos="0"/>
        </w:tabs>
        <w:suppressAutoHyphens/>
        <w:spacing w:after="0"/>
        <w:jc w:val="both"/>
        <w:rPr>
          <w:rFonts w:ascii="Tahoma" w:hAnsi="Tahoma" w:cs="Tahoma"/>
          <w:sz w:val="22"/>
          <w:szCs w:val="22"/>
        </w:rPr>
      </w:pPr>
    </w:p>
    <w:p w:rsidR="00975E90" w:rsidRPr="00975E90" w:rsidRDefault="00975E90" w:rsidP="00975E90">
      <w:pPr>
        <w:pStyle w:val="Textoindependiente"/>
        <w:widowControl w:val="0"/>
        <w:numPr>
          <w:ilvl w:val="0"/>
          <w:numId w:val="2"/>
        </w:numPr>
        <w:tabs>
          <w:tab w:val="clear" w:pos="1080"/>
          <w:tab w:val="left" w:pos="0"/>
        </w:tabs>
        <w:suppressAutoHyphens/>
        <w:spacing w:after="0"/>
        <w:ind w:left="567" w:hanging="567"/>
        <w:jc w:val="both"/>
        <w:rPr>
          <w:rFonts w:ascii="Tahoma" w:hAnsi="Tahoma" w:cs="Tahoma"/>
          <w:sz w:val="22"/>
          <w:szCs w:val="22"/>
        </w:rPr>
      </w:pPr>
      <w:r w:rsidRPr="00975E90">
        <w:rPr>
          <w:rFonts w:ascii="Tahoma" w:hAnsi="Tahoma" w:cs="Tahoma"/>
          <w:sz w:val="22"/>
          <w:szCs w:val="22"/>
        </w:rPr>
        <w:t>Previamente, este Colegiado debe analizar si el recurso materia de estudio ha sido interpuesto oportunamente, es decir, dentro del plazo señalado expresamente en la normativa precitada.</w:t>
      </w:r>
    </w:p>
    <w:p w:rsidR="00975E90" w:rsidRPr="00975E90" w:rsidRDefault="00975E90" w:rsidP="00975E90">
      <w:pPr>
        <w:pStyle w:val="Prrafodelista"/>
        <w:rPr>
          <w:rFonts w:ascii="Tahoma" w:hAnsi="Tahoma" w:cs="Tahoma"/>
          <w:sz w:val="22"/>
          <w:szCs w:val="22"/>
        </w:rPr>
      </w:pPr>
    </w:p>
    <w:p w:rsidR="00975E90" w:rsidRPr="00975E90" w:rsidRDefault="00975E90" w:rsidP="00975E90">
      <w:pPr>
        <w:pStyle w:val="Textoindependiente"/>
        <w:widowControl w:val="0"/>
        <w:numPr>
          <w:ilvl w:val="0"/>
          <w:numId w:val="2"/>
        </w:numPr>
        <w:tabs>
          <w:tab w:val="clear" w:pos="1080"/>
          <w:tab w:val="left" w:pos="0"/>
        </w:tabs>
        <w:suppressAutoHyphens/>
        <w:spacing w:after="0"/>
        <w:ind w:left="567" w:hanging="567"/>
        <w:jc w:val="both"/>
        <w:rPr>
          <w:rFonts w:ascii="Tahoma" w:hAnsi="Tahoma" w:cs="Tahoma"/>
          <w:sz w:val="22"/>
          <w:szCs w:val="22"/>
        </w:rPr>
      </w:pPr>
      <w:r w:rsidRPr="00975E90">
        <w:rPr>
          <w:rFonts w:ascii="Tahoma" w:hAnsi="Tahoma" w:cs="Tahoma"/>
          <w:sz w:val="22"/>
          <w:szCs w:val="22"/>
        </w:rPr>
        <w:t>Al respecto, de los actuados se advierte que la recurrida fue notificada a la impugnante el 04 de enero de 2011, por lo cual aquél contaba hasta el 11 de enero del mismo año para cuestionarla en vía de reconsideración, siendo que el 11 de enero del 2011 el recurso fue ingresado a la Mesa de Partes del Tribunal de Contrataciones del Estado.</w:t>
      </w:r>
    </w:p>
    <w:p w:rsidR="00975E90" w:rsidRPr="00975E90" w:rsidRDefault="00975E90" w:rsidP="00975E90">
      <w:pPr>
        <w:pStyle w:val="Textoindependiente"/>
        <w:tabs>
          <w:tab w:val="left" w:pos="0"/>
        </w:tabs>
        <w:jc w:val="both"/>
        <w:rPr>
          <w:rFonts w:ascii="Tahoma" w:hAnsi="Tahoma" w:cs="Tahoma"/>
          <w:sz w:val="22"/>
          <w:szCs w:val="22"/>
        </w:rPr>
      </w:pPr>
    </w:p>
    <w:p w:rsidR="00975E90" w:rsidRPr="00975E90" w:rsidRDefault="00975E90" w:rsidP="00975E90">
      <w:pPr>
        <w:pStyle w:val="Textoindependiente"/>
        <w:widowControl w:val="0"/>
        <w:numPr>
          <w:ilvl w:val="0"/>
          <w:numId w:val="2"/>
        </w:numPr>
        <w:tabs>
          <w:tab w:val="clear" w:pos="1080"/>
          <w:tab w:val="left" w:pos="0"/>
        </w:tabs>
        <w:suppressAutoHyphens/>
        <w:spacing w:after="0"/>
        <w:ind w:left="567" w:hanging="567"/>
        <w:jc w:val="both"/>
        <w:rPr>
          <w:rFonts w:ascii="Tahoma" w:hAnsi="Tahoma" w:cs="Tahoma"/>
          <w:sz w:val="22"/>
          <w:szCs w:val="22"/>
        </w:rPr>
      </w:pPr>
      <w:r w:rsidRPr="00975E90">
        <w:rPr>
          <w:rFonts w:ascii="Tahoma" w:hAnsi="Tahoma" w:cs="Tahoma"/>
          <w:sz w:val="22"/>
          <w:szCs w:val="22"/>
        </w:rPr>
        <w:t>De esta manera, se ha corroborado que, efectivamente, el recurso administrativo fue presentado dentro del plazo previsto y, por ende, corresponde examinar el fondo del asunto cuestionado.</w:t>
      </w:r>
    </w:p>
    <w:p w:rsidR="00975E90" w:rsidRPr="00975E90" w:rsidRDefault="00975E90" w:rsidP="00975E90">
      <w:pPr>
        <w:pStyle w:val="Prrafodelista"/>
        <w:rPr>
          <w:rFonts w:ascii="Tahoma" w:hAnsi="Tahoma" w:cs="Tahoma"/>
          <w:sz w:val="22"/>
          <w:szCs w:val="22"/>
          <w:lang w:val="es-ES"/>
        </w:rPr>
      </w:pPr>
    </w:p>
    <w:p w:rsidR="00975E90" w:rsidRPr="00975E90" w:rsidRDefault="00975E90" w:rsidP="00975E90">
      <w:pPr>
        <w:pStyle w:val="Textoindependiente"/>
        <w:widowControl w:val="0"/>
        <w:numPr>
          <w:ilvl w:val="0"/>
          <w:numId w:val="2"/>
        </w:numPr>
        <w:tabs>
          <w:tab w:val="clear" w:pos="1080"/>
          <w:tab w:val="left" w:pos="0"/>
        </w:tabs>
        <w:suppressAutoHyphens/>
        <w:spacing w:after="0"/>
        <w:ind w:left="567" w:hanging="567"/>
        <w:jc w:val="both"/>
        <w:rPr>
          <w:rFonts w:ascii="Tahoma" w:hAnsi="Tahoma" w:cs="Tahoma"/>
          <w:color w:val="000000"/>
          <w:sz w:val="22"/>
          <w:szCs w:val="22"/>
        </w:rPr>
      </w:pPr>
      <w:r w:rsidRPr="00975E90">
        <w:rPr>
          <w:rFonts w:ascii="Tahoma" w:hAnsi="Tahoma" w:cs="Tahoma"/>
          <w:color w:val="000000"/>
          <w:sz w:val="22"/>
          <w:szCs w:val="22"/>
        </w:rPr>
        <w:t>Ahora bien, tal como se puede advertir del recurso presentado, la Recurrente ha señalado que se estaría transgrediendo el Principio Non Bis in Idem, toda vez que existe un</w:t>
      </w:r>
      <w:r w:rsidRPr="00975E90">
        <w:rPr>
          <w:rFonts w:ascii="Tahoma" w:hAnsi="Tahoma" w:cs="Tahoma"/>
          <w:sz w:val="22"/>
          <w:szCs w:val="22"/>
        </w:rPr>
        <w:t>a denuncia seguida por DIGESA, en la cual se le imputa la infracción de consignar en el rotulado un número de registro sanitario que no corresponde, es decir por inexactitud, mientras que en el presente procedimiento, se le sancionó por una inexactitud contenida en la bolsa de entrega del producto, al haber consignado un número de registro sanitario que no corresponde al producto, por lo tanto, se estaría aplicando dos sanciones administrativas por el mismo hecho.</w:t>
      </w:r>
    </w:p>
    <w:p w:rsidR="00975E90" w:rsidRPr="00975E90" w:rsidRDefault="00975E90" w:rsidP="00975E90">
      <w:pPr>
        <w:pStyle w:val="Prrafodelista"/>
        <w:rPr>
          <w:rFonts w:ascii="Tahoma" w:hAnsi="Tahoma" w:cs="Tahoma"/>
          <w:color w:val="000000"/>
          <w:sz w:val="22"/>
          <w:szCs w:val="22"/>
          <w:lang w:val="es-ES"/>
        </w:rPr>
      </w:pPr>
    </w:p>
    <w:p w:rsidR="00975E90" w:rsidRPr="00975E90" w:rsidRDefault="00975E90" w:rsidP="00975E90">
      <w:pPr>
        <w:pStyle w:val="Textoindependiente"/>
        <w:widowControl w:val="0"/>
        <w:numPr>
          <w:ilvl w:val="0"/>
          <w:numId w:val="2"/>
        </w:numPr>
        <w:tabs>
          <w:tab w:val="clear" w:pos="1080"/>
          <w:tab w:val="left" w:pos="0"/>
        </w:tabs>
        <w:suppressAutoHyphens/>
        <w:spacing w:after="0"/>
        <w:ind w:left="567" w:hanging="567"/>
        <w:jc w:val="both"/>
        <w:rPr>
          <w:rFonts w:ascii="Tahoma" w:hAnsi="Tahoma" w:cs="Tahoma"/>
          <w:color w:val="000000"/>
          <w:sz w:val="22"/>
          <w:szCs w:val="22"/>
        </w:rPr>
      </w:pPr>
      <w:r w:rsidRPr="00975E90">
        <w:rPr>
          <w:rFonts w:ascii="Tahoma" w:hAnsi="Tahoma" w:cs="Tahoma"/>
          <w:sz w:val="22"/>
          <w:szCs w:val="22"/>
        </w:rPr>
        <w:t xml:space="preserve">De lo señalado, en virtud del </w:t>
      </w:r>
      <w:r w:rsidRPr="00975E90">
        <w:rPr>
          <w:rFonts w:ascii="Tahoma" w:hAnsi="Tahoma" w:cs="Tahoma"/>
          <w:i/>
          <w:sz w:val="22"/>
          <w:szCs w:val="22"/>
        </w:rPr>
        <w:t>Principio del Debido Procedimiento</w:t>
      </w:r>
      <w:r w:rsidRPr="00975E90">
        <w:rPr>
          <w:rFonts w:ascii="Tahoma" w:hAnsi="Tahoma" w:cs="Tahoma"/>
          <w:sz w:val="22"/>
          <w:szCs w:val="22"/>
        </w:rPr>
        <w:t xml:space="preserve"> consagrado en el numeral 1.2 del artículo IV del Título Preliminar de la Ley del Procedimiento Administrativo General, Ley № 27444, este Tribunal analizará si en el presente caso es de aplicación</w:t>
      </w:r>
      <w:r w:rsidRPr="00975E90">
        <w:rPr>
          <w:rFonts w:ascii="Tahoma" w:hAnsi="Tahoma" w:cs="Tahoma"/>
          <w:i/>
          <w:sz w:val="22"/>
          <w:szCs w:val="22"/>
        </w:rPr>
        <w:t xml:space="preserve"> el Principio</w:t>
      </w:r>
      <w:r w:rsidRPr="00975E90">
        <w:rPr>
          <w:rFonts w:ascii="Tahoma" w:hAnsi="Tahoma" w:cs="Tahoma"/>
          <w:sz w:val="22"/>
          <w:szCs w:val="22"/>
        </w:rPr>
        <w:t xml:space="preserve"> </w:t>
      </w:r>
      <w:r w:rsidRPr="00975E90">
        <w:rPr>
          <w:rFonts w:ascii="Tahoma" w:hAnsi="Tahoma" w:cs="Tahoma"/>
          <w:i/>
          <w:sz w:val="22"/>
          <w:szCs w:val="22"/>
        </w:rPr>
        <w:t>non bis in idem,</w:t>
      </w:r>
      <w:r w:rsidRPr="00975E90">
        <w:rPr>
          <w:rFonts w:ascii="Tahoma" w:hAnsi="Tahoma" w:cs="Tahoma"/>
          <w:sz w:val="22"/>
          <w:szCs w:val="22"/>
        </w:rPr>
        <w:t xml:space="preserve"> establecido en el numeral 10) del artículo 230 de la acotada norma legal,</w:t>
      </w:r>
      <w:r w:rsidRPr="00975E90">
        <w:rPr>
          <w:rFonts w:ascii="Tahoma" w:hAnsi="Tahoma" w:cs="Tahoma"/>
          <w:i/>
          <w:sz w:val="22"/>
          <w:szCs w:val="22"/>
        </w:rPr>
        <w:t xml:space="preserve"> </w:t>
      </w:r>
      <w:r w:rsidRPr="00975E90">
        <w:rPr>
          <w:rFonts w:ascii="Tahoma" w:hAnsi="Tahoma" w:cs="Tahoma"/>
          <w:sz w:val="22"/>
          <w:szCs w:val="22"/>
        </w:rPr>
        <w:t xml:space="preserve">el mismo que está referido a que no se podrá imponer sucesiva o simultáneamente una pena y una sanción administrativa por el mismo hecho en los casos que se aprecie la identidad del </w:t>
      </w:r>
      <w:r w:rsidRPr="00975E90">
        <w:rPr>
          <w:rFonts w:ascii="Tahoma" w:hAnsi="Tahoma" w:cs="Tahoma"/>
          <w:sz w:val="22"/>
          <w:szCs w:val="22"/>
        </w:rPr>
        <w:lastRenderedPageBreak/>
        <w:t>sujeto, hecho y fundamento.</w:t>
      </w:r>
    </w:p>
    <w:p w:rsidR="00975E90" w:rsidRPr="00975E90" w:rsidRDefault="00975E90" w:rsidP="00975E90">
      <w:pPr>
        <w:rPr>
          <w:rFonts w:ascii="Tahoma" w:hAnsi="Tahoma" w:cs="Tahoma"/>
          <w:sz w:val="22"/>
          <w:szCs w:val="22"/>
        </w:rPr>
      </w:pPr>
    </w:p>
    <w:p w:rsidR="00975E90" w:rsidRPr="00975E90" w:rsidRDefault="00975E90" w:rsidP="00975E90">
      <w:pPr>
        <w:ind w:left="567"/>
        <w:contextualSpacing/>
        <w:jc w:val="both"/>
        <w:rPr>
          <w:rFonts w:ascii="Tahoma" w:hAnsi="Tahoma" w:cs="Tahoma"/>
          <w:sz w:val="22"/>
          <w:szCs w:val="22"/>
        </w:rPr>
      </w:pPr>
      <w:r w:rsidRPr="00975E90">
        <w:rPr>
          <w:rFonts w:ascii="Tahoma" w:hAnsi="Tahoma" w:cs="Tahoma"/>
          <w:sz w:val="22"/>
          <w:szCs w:val="22"/>
        </w:rPr>
        <w:t>En efecto, para la aplicación de dicho principio, la norma exige tres presupuestos: a) Identidad subjetiva: Referido a que el administrado debe ser el mismo en ambos procedimientos; b) Identidad Objetiva: Los hechos constitutivos de la infracción deben ser los mismos en ambos procedimientos; c) Identidad causal o de fundamento: Referido a la identidad entre los bienes jurídicos protegidos y los intereses tutelados por las distintas normas sancionadoras</w:t>
      </w:r>
      <w:r w:rsidRPr="00975E90">
        <w:rPr>
          <w:rStyle w:val="Refdenotaalpie"/>
          <w:rFonts w:ascii="Tahoma" w:hAnsi="Tahoma" w:cs="Tahoma"/>
          <w:sz w:val="22"/>
          <w:szCs w:val="22"/>
        </w:rPr>
        <w:footnoteReference w:id="2"/>
      </w:r>
    </w:p>
    <w:p w:rsidR="00975E90" w:rsidRPr="00975E90" w:rsidRDefault="00975E90" w:rsidP="00975E90">
      <w:pPr>
        <w:ind w:left="567"/>
        <w:contextualSpacing/>
        <w:jc w:val="both"/>
        <w:rPr>
          <w:rFonts w:ascii="Tahoma" w:hAnsi="Tahoma" w:cs="Tahoma"/>
          <w:sz w:val="22"/>
          <w:szCs w:val="22"/>
        </w:rPr>
      </w:pPr>
    </w:p>
    <w:p w:rsidR="00975E90" w:rsidRPr="00975E90" w:rsidRDefault="00975E90" w:rsidP="00975E90">
      <w:pPr>
        <w:pStyle w:val="Textoindependiente"/>
        <w:widowControl w:val="0"/>
        <w:numPr>
          <w:ilvl w:val="0"/>
          <w:numId w:val="2"/>
        </w:numPr>
        <w:tabs>
          <w:tab w:val="clear" w:pos="1080"/>
          <w:tab w:val="left" w:pos="0"/>
        </w:tabs>
        <w:suppressAutoHyphens/>
        <w:spacing w:after="0"/>
        <w:ind w:left="567" w:hanging="567"/>
        <w:jc w:val="both"/>
        <w:rPr>
          <w:rFonts w:ascii="Tahoma" w:hAnsi="Tahoma" w:cs="Tahoma"/>
          <w:color w:val="000000"/>
          <w:sz w:val="22"/>
          <w:szCs w:val="22"/>
        </w:rPr>
      </w:pPr>
      <w:r w:rsidRPr="00975E90">
        <w:rPr>
          <w:rFonts w:ascii="Tahoma" w:hAnsi="Tahoma" w:cs="Tahoma"/>
          <w:sz w:val="22"/>
          <w:szCs w:val="22"/>
        </w:rPr>
        <w:t>En ese sentido, cabe precisar que obra a fojas 330 del presente expediente, el Auto Directoral Nº 229-2009/DHAZ/DIGESA/SA, mediante la cual DIGESA le otorgó al Recurrente el plazo de cinco (05) días hábiles, a fin que presente sus descargos sobre la Denuncia interpuesta por la Organización Distrital de los Comités del Vaso de Leche de Independencia, por comercializar productos sin Registro Sanitario, toda vez que el producto “Hojuela de Quinua enriquecida con Cereales, Vitaminas y Minerales”, producido por la Recurrente, no cuenta con Registro Sanitario y el código que viene consignando en el envase corresponde a otro producto.</w:t>
      </w:r>
    </w:p>
    <w:p w:rsidR="00975E90" w:rsidRPr="00975E90" w:rsidRDefault="00975E90" w:rsidP="00975E90">
      <w:pPr>
        <w:pStyle w:val="Textoindependiente"/>
        <w:widowControl w:val="0"/>
        <w:tabs>
          <w:tab w:val="left" w:pos="0"/>
        </w:tabs>
        <w:suppressAutoHyphens/>
        <w:spacing w:after="0"/>
        <w:ind w:left="567"/>
        <w:jc w:val="both"/>
        <w:rPr>
          <w:rFonts w:ascii="Tahoma" w:hAnsi="Tahoma" w:cs="Tahoma"/>
          <w:color w:val="000000"/>
          <w:sz w:val="22"/>
          <w:szCs w:val="22"/>
        </w:rPr>
      </w:pPr>
    </w:p>
    <w:p w:rsidR="00975E90" w:rsidRPr="00975E90" w:rsidRDefault="00975E90" w:rsidP="00975E90">
      <w:pPr>
        <w:pStyle w:val="Textoindependiente"/>
        <w:widowControl w:val="0"/>
        <w:tabs>
          <w:tab w:val="left" w:pos="0"/>
        </w:tabs>
        <w:suppressAutoHyphens/>
        <w:spacing w:after="0"/>
        <w:ind w:left="567"/>
        <w:jc w:val="both"/>
        <w:rPr>
          <w:rFonts w:ascii="Tahoma" w:hAnsi="Tahoma" w:cs="Tahoma"/>
          <w:color w:val="000000"/>
          <w:sz w:val="22"/>
          <w:szCs w:val="22"/>
        </w:rPr>
      </w:pPr>
      <w:r w:rsidRPr="00975E90">
        <w:rPr>
          <w:rFonts w:ascii="Tahoma" w:hAnsi="Tahoma" w:cs="Tahoma"/>
          <w:color w:val="000000"/>
          <w:sz w:val="22"/>
          <w:szCs w:val="22"/>
        </w:rPr>
        <w:t>Asimismo, en el Informe Nº 2777-2009/DHAZ/DIGESA de fecha 13 de noviembre de 2009, obrante a fojas 331 al 333 del presente expediente, referido a la denuncia seguida por DIGESA contra la Recurrente por la comercialización de productos sin Registro Sanitario, se concluyó lo siguiente:</w:t>
      </w:r>
    </w:p>
    <w:p w:rsidR="00975E90" w:rsidRDefault="00975E90" w:rsidP="00975E90">
      <w:pPr>
        <w:pStyle w:val="Textoindependiente"/>
        <w:widowControl w:val="0"/>
        <w:tabs>
          <w:tab w:val="left" w:pos="0"/>
        </w:tabs>
        <w:suppressAutoHyphens/>
        <w:spacing w:after="0"/>
        <w:ind w:left="567"/>
        <w:jc w:val="both"/>
        <w:rPr>
          <w:rFonts w:ascii="Tahoma" w:hAnsi="Tahoma" w:cs="Tahoma"/>
          <w:color w:val="000000"/>
          <w:sz w:val="22"/>
          <w:szCs w:val="22"/>
        </w:rPr>
      </w:pPr>
    </w:p>
    <w:p w:rsidR="00975E90" w:rsidRPr="00CA4221" w:rsidRDefault="00975E90" w:rsidP="00975E90">
      <w:pPr>
        <w:pStyle w:val="Textoindependiente"/>
        <w:widowControl w:val="0"/>
        <w:tabs>
          <w:tab w:val="left" w:pos="0"/>
        </w:tabs>
        <w:suppressAutoHyphens/>
        <w:spacing w:after="0"/>
        <w:ind w:left="851" w:right="282"/>
        <w:jc w:val="both"/>
        <w:rPr>
          <w:rFonts w:ascii="Tahoma" w:hAnsi="Tahoma" w:cs="Tahoma"/>
          <w:i/>
          <w:color w:val="000000"/>
          <w:sz w:val="18"/>
          <w:szCs w:val="18"/>
        </w:rPr>
      </w:pPr>
      <w:r w:rsidRPr="00CA4221">
        <w:rPr>
          <w:rFonts w:ascii="Tahoma" w:hAnsi="Tahoma" w:cs="Tahoma"/>
          <w:i/>
          <w:color w:val="000000"/>
          <w:sz w:val="18"/>
          <w:szCs w:val="18"/>
        </w:rPr>
        <w:t>“3.1 El Registro Sanitario E5719408N/NAARS no corresponde al producto Hojuelas de Quinua Enriquecida con Cereales, Vitaminas y Minerales, Grano de Oro, según  lo verificado en la base de datos de esta Dirección General, por tanto este producto no cuenta con registro sanitario.</w:t>
      </w:r>
    </w:p>
    <w:p w:rsidR="00975E90" w:rsidRPr="00CA4221" w:rsidRDefault="00975E90" w:rsidP="00975E90">
      <w:pPr>
        <w:pStyle w:val="Textoindependiente"/>
        <w:widowControl w:val="0"/>
        <w:tabs>
          <w:tab w:val="left" w:pos="0"/>
        </w:tabs>
        <w:suppressAutoHyphens/>
        <w:spacing w:after="0"/>
        <w:ind w:left="851" w:right="282"/>
        <w:jc w:val="both"/>
        <w:rPr>
          <w:rFonts w:ascii="Tahoma" w:hAnsi="Tahoma" w:cs="Tahoma"/>
          <w:i/>
          <w:color w:val="000000"/>
          <w:sz w:val="18"/>
          <w:szCs w:val="18"/>
        </w:rPr>
      </w:pPr>
    </w:p>
    <w:p w:rsidR="00975E90" w:rsidRPr="00CA4221" w:rsidRDefault="00975E90" w:rsidP="00975E90">
      <w:pPr>
        <w:pStyle w:val="Textoindependiente"/>
        <w:widowControl w:val="0"/>
        <w:tabs>
          <w:tab w:val="left" w:pos="0"/>
        </w:tabs>
        <w:suppressAutoHyphens/>
        <w:spacing w:after="0"/>
        <w:ind w:left="851" w:right="282"/>
        <w:jc w:val="both"/>
        <w:rPr>
          <w:rFonts w:ascii="Tahoma" w:hAnsi="Tahoma" w:cs="Tahoma"/>
          <w:i/>
          <w:color w:val="000000"/>
          <w:sz w:val="18"/>
          <w:szCs w:val="18"/>
        </w:rPr>
      </w:pPr>
      <w:r w:rsidRPr="00CA4221">
        <w:rPr>
          <w:rFonts w:ascii="Tahoma" w:hAnsi="Tahoma" w:cs="Tahoma"/>
          <w:i/>
          <w:color w:val="000000"/>
          <w:sz w:val="18"/>
          <w:szCs w:val="18"/>
        </w:rPr>
        <w:t>3.2 La empresa AGROINDUSTRIA SANTA MARIA S.A.C. cuenta Registro Sanitario E5719408N/NAARSN para el producto Hojuelas de Cereales Enriquecidos con Vitaminas y Minerales Grano de Oro, tal como lo establece el Certificado Nº 03153-2008 (Expediente Nº 8964-2008/R), otorgado con fecha 25 de junio del 2008, por una vigencia de cinco (05) años.</w:t>
      </w:r>
    </w:p>
    <w:p w:rsidR="00975E90" w:rsidRPr="00CA4221" w:rsidRDefault="00975E90" w:rsidP="00975E90">
      <w:pPr>
        <w:pStyle w:val="Textoindependiente"/>
        <w:widowControl w:val="0"/>
        <w:tabs>
          <w:tab w:val="left" w:pos="0"/>
        </w:tabs>
        <w:suppressAutoHyphens/>
        <w:spacing w:after="0"/>
        <w:ind w:left="851" w:right="282"/>
        <w:jc w:val="both"/>
        <w:rPr>
          <w:rFonts w:ascii="Tahoma" w:hAnsi="Tahoma" w:cs="Tahoma"/>
          <w:i/>
          <w:color w:val="000000"/>
          <w:sz w:val="18"/>
          <w:szCs w:val="18"/>
        </w:rPr>
      </w:pPr>
    </w:p>
    <w:p w:rsidR="00975E90" w:rsidRPr="00CA4221" w:rsidRDefault="00975E90" w:rsidP="00975E90">
      <w:pPr>
        <w:pStyle w:val="Textoindependiente"/>
        <w:widowControl w:val="0"/>
        <w:tabs>
          <w:tab w:val="left" w:pos="0"/>
        </w:tabs>
        <w:suppressAutoHyphens/>
        <w:spacing w:after="0"/>
        <w:ind w:left="851" w:right="282"/>
        <w:jc w:val="both"/>
        <w:rPr>
          <w:rFonts w:ascii="Tahoma" w:hAnsi="Tahoma" w:cs="Tahoma"/>
          <w:i/>
          <w:color w:val="000000"/>
          <w:sz w:val="18"/>
          <w:szCs w:val="18"/>
        </w:rPr>
      </w:pPr>
      <w:r w:rsidRPr="00CA4221">
        <w:rPr>
          <w:rFonts w:ascii="Tahoma" w:hAnsi="Tahoma" w:cs="Tahoma"/>
          <w:i/>
          <w:color w:val="000000"/>
          <w:sz w:val="18"/>
          <w:szCs w:val="18"/>
        </w:rPr>
        <w:t>3.3 La empresa AGROINDUSTRIA SANTA MARIA S.A.C. consigna en el rótulo de su producto Hojuelas de Quinua enriquecida con Cereales, Vitaminas y Minerales al Registro Sanitario E5719408/NAARSN, incurriendo en infracción según lo establecido en el Art. 122 literal “b)” del D.S. 007-98-SA “Reglamento sobre Vigilancia y Control Sanitario de Alimentos y Bebidas”, respecto a consignar en el rotulado del envase un número de Registro Sanitario que no corresponde al producto”</w:t>
      </w:r>
    </w:p>
    <w:p w:rsidR="00975E90" w:rsidRPr="003F3DBC" w:rsidRDefault="00975E90" w:rsidP="00975E90">
      <w:pPr>
        <w:pStyle w:val="Textoindependiente"/>
        <w:widowControl w:val="0"/>
        <w:tabs>
          <w:tab w:val="left" w:pos="0"/>
        </w:tabs>
        <w:suppressAutoHyphens/>
        <w:spacing w:after="0"/>
        <w:ind w:left="567"/>
        <w:jc w:val="both"/>
        <w:rPr>
          <w:rFonts w:ascii="Tahoma" w:hAnsi="Tahoma" w:cs="Tahoma"/>
          <w:color w:val="000000"/>
          <w:sz w:val="22"/>
          <w:szCs w:val="22"/>
        </w:rPr>
      </w:pPr>
    </w:p>
    <w:p w:rsidR="00975E90" w:rsidRPr="00975E90" w:rsidRDefault="00975E90" w:rsidP="00975E90">
      <w:pPr>
        <w:pStyle w:val="Textoindependiente"/>
        <w:widowControl w:val="0"/>
        <w:numPr>
          <w:ilvl w:val="0"/>
          <w:numId w:val="2"/>
        </w:numPr>
        <w:tabs>
          <w:tab w:val="clear" w:pos="1080"/>
          <w:tab w:val="left" w:pos="0"/>
        </w:tabs>
        <w:suppressAutoHyphens/>
        <w:spacing w:after="0"/>
        <w:ind w:left="567" w:hanging="567"/>
        <w:jc w:val="both"/>
        <w:rPr>
          <w:rFonts w:ascii="Tahoma" w:hAnsi="Tahoma" w:cs="Tahoma"/>
          <w:color w:val="000000"/>
          <w:sz w:val="22"/>
          <w:szCs w:val="22"/>
        </w:rPr>
      </w:pPr>
      <w:r w:rsidRPr="00975E90">
        <w:rPr>
          <w:rFonts w:ascii="Tahoma" w:hAnsi="Tahoma" w:cs="Tahoma"/>
          <w:color w:val="000000"/>
          <w:sz w:val="22"/>
          <w:szCs w:val="22"/>
        </w:rPr>
        <w:t xml:space="preserve">Respecto a lo señalado anteriormente, se puede advertir que el presente procedimiento administrativo sancionador y la denuncia seguida por DIGESA, está referida a la responsabilidad de la Recurrente, por haber presentado ante la </w:t>
      </w:r>
      <w:r w:rsidRPr="00975E90">
        <w:rPr>
          <w:rFonts w:ascii="Tahoma" w:hAnsi="Tahoma" w:cs="Tahoma"/>
          <w:color w:val="000000"/>
          <w:sz w:val="22"/>
          <w:szCs w:val="22"/>
        </w:rPr>
        <w:lastRenderedPageBreak/>
        <w:t>Entidad el envase (bolsa) del insumo denominado “Hojuela de quinua enriquecida con vitaminas y minerales” en el cual señaló como Registro Sanitario Nº E5719408N NAARSN, no obstante ello, se verificó que dicho registro correspondía al insumo “Hojuelas de cereales enriquecido con vitaminas y minerales “Grano de Oro”; por lo tanto, entre ambos procedimientos si existiría</w:t>
      </w:r>
      <w:r w:rsidRPr="00975E90">
        <w:rPr>
          <w:rFonts w:ascii="Tahoma" w:hAnsi="Tahoma" w:cs="Tahoma"/>
          <w:sz w:val="22"/>
          <w:szCs w:val="22"/>
        </w:rPr>
        <w:t xml:space="preserve"> identidad subjetiva, toda vez que el administrado es el mismo en ambos procedimientos, es decir la empresa AGROINDUSTRIA SANTA MARIA S.A.C y, además, también existiría identidad objetiva, toda vez que los hechos constitutivos de la infracción son los mismos.</w:t>
      </w:r>
    </w:p>
    <w:p w:rsidR="00975E90" w:rsidRPr="00975E90" w:rsidRDefault="00975E90" w:rsidP="00975E90">
      <w:pPr>
        <w:pStyle w:val="Textoindependiente"/>
        <w:widowControl w:val="0"/>
        <w:tabs>
          <w:tab w:val="left" w:pos="0"/>
        </w:tabs>
        <w:suppressAutoHyphens/>
        <w:spacing w:after="0"/>
        <w:ind w:left="567"/>
        <w:jc w:val="both"/>
        <w:rPr>
          <w:rFonts w:ascii="Tahoma" w:hAnsi="Tahoma" w:cs="Tahoma"/>
          <w:color w:val="000000"/>
          <w:sz w:val="22"/>
          <w:szCs w:val="22"/>
        </w:rPr>
      </w:pPr>
    </w:p>
    <w:p w:rsidR="00975E90" w:rsidRPr="00975E90" w:rsidRDefault="00975E90" w:rsidP="00975E90">
      <w:pPr>
        <w:pStyle w:val="Textoindependiente"/>
        <w:widowControl w:val="0"/>
        <w:tabs>
          <w:tab w:val="left" w:pos="0"/>
        </w:tabs>
        <w:suppressAutoHyphens/>
        <w:spacing w:after="0"/>
        <w:ind w:left="567"/>
        <w:jc w:val="both"/>
        <w:rPr>
          <w:rFonts w:ascii="Tahoma" w:hAnsi="Tahoma" w:cs="Tahoma"/>
          <w:color w:val="000000"/>
          <w:sz w:val="22"/>
          <w:szCs w:val="22"/>
        </w:rPr>
      </w:pPr>
      <w:r w:rsidRPr="00975E90">
        <w:rPr>
          <w:rFonts w:ascii="Tahoma" w:hAnsi="Tahoma" w:cs="Tahoma"/>
          <w:sz w:val="22"/>
          <w:szCs w:val="22"/>
          <w:lang w:eastAsia="en-US"/>
        </w:rPr>
        <w:t xml:space="preserve">No obstante ello, cabe precisar que no existe </w:t>
      </w:r>
      <w:r w:rsidRPr="00975E90">
        <w:rPr>
          <w:rFonts w:ascii="Tahoma" w:hAnsi="Tahoma" w:cs="Tahoma"/>
          <w:sz w:val="22"/>
          <w:szCs w:val="22"/>
        </w:rPr>
        <w:t xml:space="preserve">identidad causal o de fundamento, toda vez que no hay coincidencia entre los bienes jurídicos protegidos y los intereses tutelados entre ambos procedimientos, toda vez que </w:t>
      </w:r>
      <w:r w:rsidRPr="00975E90">
        <w:rPr>
          <w:rFonts w:ascii="Tahoma" w:hAnsi="Tahoma" w:cs="Tahoma"/>
          <w:sz w:val="22"/>
          <w:szCs w:val="22"/>
          <w:lang w:val="es-ES_tradnl"/>
        </w:rPr>
        <w:t>en el procedimiento seguido por DIGESA</w:t>
      </w:r>
      <w:r w:rsidRPr="00975E90">
        <w:rPr>
          <w:rFonts w:ascii="Tahoma" w:hAnsi="Tahoma" w:cs="Tahoma"/>
          <w:sz w:val="22"/>
          <w:szCs w:val="22"/>
        </w:rPr>
        <w:t xml:space="preserve"> está referida a la comisión de infracción contenida en el literal b) del artículo 122 del Reglamento sobre Vigilancia y Control Sanitario de Alimentos y Bebidas, aprobado por el Decreto Supremo Nº 007-98-SA, por consignar en el rotulado de los envases un número de Registro Sanitario que no corresponde al producto registrado, la misma que busca cautelar que los alimentos industrializados deben provenir de insumos de uso alimentario y el nombre o la denominación asignada al producto debe reflejar su verdadera naturaleza, de tal forma que no se induzca al engaño al consumidor respecto a su naturaleza y uso, mientras que en el presente procedimiento administrativo sancionador, se busca cautelar </w:t>
      </w:r>
      <w:r w:rsidRPr="00975E90">
        <w:rPr>
          <w:rFonts w:ascii="Tahoma" w:hAnsi="Tahoma" w:cs="Tahoma"/>
          <w:sz w:val="22"/>
          <w:szCs w:val="22"/>
          <w:lang w:val="es-PE"/>
        </w:rPr>
        <w:t>el Principio de Moralidad, toda vez que los actos referidos a procesos de contratación convocadas por las Entidades, deben estar sujetos a las reglas de honradez, veracidad, intangibilidad, justicia y probidad, y que, a su vez, forma parte del bien jurídico tutelado de la fe pública</w:t>
      </w:r>
    </w:p>
    <w:p w:rsidR="00975E90" w:rsidRPr="00975E90" w:rsidRDefault="00975E90" w:rsidP="00975E90">
      <w:pPr>
        <w:pStyle w:val="Textoindependiente"/>
        <w:widowControl w:val="0"/>
        <w:tabs>
          <w:tab w:val="left" w:pos="0"/>
        </w:tabs>
        <w:suppressAutoHyphens/>
        <w:spacing w:after="0"/>
        <w:ind w:left="567"/>
        <w:jc w:val="both"/>
        <w:rPr>
          <w:rFonts w:ascii="Tahoma" w:hAnsi="Tahoma" w:cs="Tahoma"/>
          <w:color w:val="000000"/>
          <w:sz w:val="22"/>
          <w:szCs w:val="22"/>
        </w:rPr>
      </w:pPr>
    </w:p>
    <w:p w:rsidR="00975E90" w:rsidRPr="00975E90" w:rsidRDefault="00975E90" w:rsidP="00975E90">
      <w:pPr>
        <w:pStyle w:val="Textoindependiente"/>
        <w:widowControl w:val="0"/>
        <w:numPr>
          <w:ilvl w:val="0"/>
          <w:numId w:val="2"/>
        </w:numPr>
        <w:tabs>
          <w:tab w:val="clear" w:pos="1080"/>
          <w:tab w:val="left" w:pos="0"/>
        </w:tabs>
        <w:suppressAutoHyphens/>
        <w:spacing w:after="0"/>
        <w:ind w:left="567" w:hanging="567"/>
        <w:jc w:val="both"/>
        <w:rPr>
          <w:rFonts w:ascii="Tahoma" w:hAnsi="Tahoma" w:cs="Tahoma"/>
          <w:color w:val="000000"/>
          <w:sz w:val="22"/>
          <w:szCs w:val="22"/>
        </w:rPr>
      </w:pPr>
      <w:r w:rsidRPr="00975E90">
        <w:rPr>
          <w:rFonts w:ascii="Tahoma" w:hAnsi="Tahoma" w:cs="Tahoma"/>
          <w:sz w:val="22"/>
          <w:szCs w:val="22"/>
          <w:lang w:eastAsia="en-US"/>
        </w:rPr>
        <w:t>Por lo tanto, al no cumplirse con el presupuesto referido a la id</w:t>
      </w:r>
      <w:r w:rsidRPr="00975E90">
        <w:rPr>
          <w:rFonts w:ascii="Tahoma" w:hAnsi="Tahoma" w:cs="Tahoma"/>
          <w:sz w:val="22"/>
          <w:szCs w:val="22"/>
        </w:rPr>
        <w:t xml:space="preserve">entidad causal o de fundamento entre ambos procedimiento, </w:t>
      </w:r>
      <w:r w:rsidRPr="00975E90">
        <w:rPr>
          <w:rFonts w:ascii="Tahoma" w:hAnsi="Tahoma" w:cs="Tahoma"/>
          <w:sz w:val="22"/>
          <w:szCs w:val="22"/>
          <w:lang w:eastAsia="en-US"/>
        </w:rPr>
        <w:t>no cabe amparar lo alegado por la Recurrente, respecto a la aplicación del Principio Non Bis In Ídem.</w:t>
      </w:r>
    </w:p>
    <w:p w:rsidR="00975E90" w:rsidRPr="00975E90" w:rsidRDefault="00975E90" w:rsidP="00975E90">
      <w:pPr>
        <w:pStyle w:val="Textoindependiente"/>
        <w:widowControl w:val="0"/>
        <w:tabs>
          <w:tab w:val="left" w:pos="0"/>
        </w:tabs>
        <w:suppressAutoHyphens/>
        <w:spacing w:after="0"/>
        <w:jc w:val="both"/>
        <w:rPr>
          <w:rFonts w:ascii="Tahoma" w:hAnsi="Tahoma" w:cs="Tahoma"/>
          <w:color w:val="000000"/>
          <w:sz w:val="22"/>
          <w:szCs w:val="22"/>
        </w:rPr>
      </w:pPr>
    </w:p>
    <w:p w:rsidR="00975E90" w:rsidRPr="00975E90" w:rsidRDefault="00975E90" w:rsidP="00975E90">
      <w:pPr>
        <w:pStyle w:val="Textoindependiente"/>
        <w:widowControl w:val="0"/>
        <w:numPr>
          <w:ilvl w:val="0"/>
          <w:numId w:val="2"/>
        </w:numPr>
        <w:tabs>
          <w:tab w:val="clear" w:pos="1080"/>
          <w:tab w:val="left" w:pos="0"/>
        </w:tabs>
        <w:suppressAutoHyphens/>
        <w:spacing w:after="0"/>
        <w:ind w:left="567" w:hanging="567"/>
        <w:jc w:val="both"/>
        <w:rPr>
          <w:rFonts w:ascii="Tahoma" w:hAnsi="Tahoma" w:cs="Tahoma"/>
          <w:color w:val="000000"/>
          <w:sz w:val="22"/>
          <w:szCs w:val="22"/>
        </w:rPr>
      </w:pPr>
      <w:r w:rsidRPr="00975E90">
        <w:rPr>
          <w:rFonts w:ascii="Tahoma" w:hAnsi="Tahoma" w:cs="Tahoma"/>
          <w:color w:val="000000"/>
          <w:sz w:val="22"/>
          <w:szCs w:val="22"/>
        </w:rPr>
        <w:t>Por otro lado, cabe precisar que la Contratista, en el presente recurso impugnativo, ha reiterado los mismos argumentos que ya han sido materia de pronunciamiento en la Resolución Nº 2395-2010-TC-S1, por parte de este Tribunal.</w:t>
      </w:r>
    </w:p>
    <w:p w:rsidR="00975E90" w:rsidRPr="00975E90" w:rsidRDefault="00975E90" w:rsidP="00975E90">
      <w:pPr>
        <w:pStyle w:val="Textoindependiente"/>
        <w:widowControl w:val="0"/>
        <w:tabs>
          <w:tab w:val="left" w:pos="0"/>
        </w:tabs>
        <w:suppressAutoHyphens/>
        <w:spacing w:after="0"/>
        <w:ind w:left="567"/>
        <w:jc w:val="both"/>
        <w:rPr>
          <w:rFonts w:ascii="Tahoma" w:hAnsi="Tahoma" w:cs="Tahoma"/>
          <w:color w:val="000000"/>
          <w:sz w:val="22"/>
          <w:szCs w:val="22"/>
        </w:rPr>
      </w:pPr>
    </w:p>
    <w:p w:rsidR="00975E90" w:rsidRPr="00975E90" w:rsidRDefault="00975E90" w:rsidP="00975E90">
      <w:pPr>
        <w:pStyle w:val="Textoindependiente"/>
        <w:widowControl w:val="0"/>
        <w:numPr>
          <w:ilvl w:val="0"/>
          <w:numId w:val="2"/>
        </w:numPr>
        <w:tabs>
          <w:tab w:val="clear" w:pos="1080"/>
          <w:tab w:val="left" w:pos="0"/>
        </w:tabs>
        <w:suppressAutoHyphens/>
        <w:spacing w:after="0"/>
        <w:ind w:left="567" w:hanging="567"/>
        <w:jc w:val="both"/>
        <w:rPr>
          <w:rFonts w:ascii="Tahoma" w:hAnsi="Tahoma" w:cs="Tahoma"/>
          <w:color w:val="000000"/>
          <w:sz w:val="22"/>
          <w:szCs w:val="22"/>
        </w:rPr>
      </w:pPr>
      <w:r w:rsidRPr="00975E90">
        <w:rPr>
          <w:rFonts w:ascii="Tahoma" w:hAnsi="Tahoma" w:cs="Tahoma"/>
          <w:color w:val="000000"/>
          <w:sz w:val="22"/>
          <w:szCs w:val="22"/>
        </w:rPr>
        <w:t xml:space="preserve">En efecto, no cabe amparar lo señalado por la Recurrente, respecto a que las Bases aceptaban que se podía consignar que un insumo cuenta con un determinado registro sanitario cuando dicho registro corresponde a otro producto, siempre que el primero de ellos comparta </w:t>
      </w:r>
      <w:r w:rsidRPr="00975E90">
        <w:rPr>
          <w:rFonts w:ascii="Tahoma" w:hAnsi="Tahoma" w:cs="Tahoma"/>
          <w:sz w:val="22"/>
          <w:szCs w:val="22"/>
        </w:rPr>
        <w:t>la misma composición cualitativa de ingredientes básicos que el producto solicitado</w:t>
      </w:r>
      <w:r w:rsidRPr="00975E90">
        <w:rPr>
          <w:rFonts w:ascii="Tahoma" w:hAnsi="Tahoma" w:cs="Tahoma"/>
          <w:color w:val="000000"/>
          <w:sz w:val="22"/>
          <w:szCs w:val="22"/>
        </w:rPr>
        <w:t xml:space="preserve"> en las Bases, toda vez que, ya este Tribunal ha sido enfático al señalar que </w:t>
      </w:r>
      <w:r w:rsidRPr="00975E90">
        <w:rPr>
          <w:rFonts w:ascii="Tahoma" w:hAnsi="Tahoma" w:cs="Tahoma"/>
          <w:sz w:val="22"/>
          <w:szCs w:val="22"/>
          <w:lang w:eastAsia="en-US"/>
        </w:rPr>
        <w:t xml:space="preserve">si bien es cierto, en el numeral 7) de la Documentación de Presentación Obligatoria del Capítulo II de las Bases Administrativas de la Exoneración Nº 0002-2009-MDI-UL, se estableció que para el caso del ítem II se aceptará el Registro Sanitario de productos cuya </w:t>
      </w:r>
      <w:r w:rsidRPr="00975E90">
        <w:rPr>
          <w:rFonts w:ascii="Tahoma" w:hAnsi="Tahoma" w:cs="Tahoma"/>
          <w:sz w:val="22"/>
          <w:szCs w:val="22"/>
          <w:lang w:eastAsia="en-US"/>
        </w:rPr>
        <w:lastRenderedPageBreak/>
        <w:t>denominación sea distinta al objeto de la convocatoria, siempre que se adjunte la solicitud o declaración jurada presentada ante DIGESA para corroborar la composición; no es menos cierto, que lo señalado anteriormente, no otorga la facultad a los postores de entregar un producto con una denominación distinta a la que figura en su registro sanitario.</w:t>
      </w:r>
    </w:p>
    <w:p w:rsidR="00975E90" w:rsidRPr="00975E90" w:rsidRDefault="00975E90" w:rsidP="00975E90">
      <w:pPr>
        <w:jc w:val="both"/>
        <w:rPr>
          <w:rFonts w:ascii="Tahoma" w:hAnsi="Tahoma" w:cs="Tahoma"/>
          <w:color w:val="000000" w:themeColor="text1"/>
          <w:sz w:val="22"/>
          <w:szCs w:val="22"/>
        </w:rPr>
      </w:pPr>
    </w:p>
    <w:p w:rsidR="00975E90" w:rsidRPr="00975E90" w:rsidRDefault="00975E90" w:rsidP="00975E90">
      <w:pPr>
        <w:ind w:left="567"/>
        <w:jc w:val="both"/>
        <w:rPr>
          <w:rFonts w:ascii="Tahoma" w:eastAsia="Calibri" w:hAnsi="Tahoma" w:cs="Tahoma"/>
          <w:sz w:val="22"/>
          <w:szCs w:val="22"/>
          <w:lang w:eastAsia="en-US"/>
        </w:rPr>
      </w:pPr>
      <w:r w:rsidRPr="00975E90">
        <w:rPr>
          <w:rFonts w:ascii="Tahoma" w:hAnsi="Tahoma" w:cs="Tahoma"/>
          <w:color w:val="000000" w:themeColor="text1"/>
          <w:sz w:val="22"/>
          <w:szCs w:val="22"/>
        </w:rPr>
        <w:t xml:space="preserve">Cabe reiterar que, tal como ya se indicó en la Resolución </w:t>
      </w:r>
      <w:r w:rsidRPr="00975E90">
        <w:rPr>
          <w:rFonts w:ascii="Tahoma" w:hAnsi="Tahoma" w:cs="Tahoma"/>
          <w:color w:val="000000"/>
          <w:sz w:val="22"/>
          <w:szCs w:val="22"/>
        </w:rPr>
        <w:t>Nº 2395-2010-TC-S1,</w:t>
      </w:r>
      <w:r w:rsidRPr="00975E90">
        <w:rPr>
          <w:rFonts w:ascii="Tahoma" w:hAnsi="Tahoma" w:cs="Tahoma"/>
          <w:color w:val="000000" w:themeColor="text1"/>
          <w:sz w:val="22"/>
          <w:szCs w:val="22"/>
        </w:rPr>
        <w:t xml:space="preserve"> lo consignado en las Bases Administrativas de </w:t>
      </w:r>
      <w:r w:rsidRPr="00975E90">
        <w:rPr>
          <w:rFonts w:ascii="Tahoma" w:eastAsia="Calibri" w:hAnsi="Tahoma" w:cs="Tahoma"/>
          <w:sz w:val="22"/>
          <w:szCs w:val="22"/>
          <w:lang w:eastAsia="en-US"/>
        </w:rPr>
        <w:t>la Exoneración Nº 0002-2009-MDI-UL, sólo tiene por objetivo que los postores puedan ofertar para el ítem Nº 02, un producto que cuenta con registro sanitario cuya denominación sea distinta al objeto de convocatoria, no obstante ello, el producto ofertado debe tener la misma denominación con la cual se le ha otorgado el Registro Sanitario, toda vez que no se puede entregar un producto que cuenta con una determinada denominación en Registro Sanitario, con otra distinta.</w:t>
      </w:r>
    </w:p>
    <w:p w:rsidR="00975E90" w:rsidRPr="00975E90" w:rsidRDefault="00975E90" w:rsidP="00975E90">
      <w:pPr>
        <w:ind w:left="567"/>
        <w:jc w:val="both"/>
        <w:rPr>
          <w:rFonts w:ascii="Tahoma" w:eastAsia="Calibri" w:hAnsi="Tahoma" w:cs="Tahoma"/>
          <w:sz w:val="22"/>
          <w:szCs w:val="22"/>
          <w:lang w:eastAsia="en-US"/>
        </w:rPr>
      </w:pPr>
    </w:p>
    <w:p w:rsidR="00975E90" w:rsidRPr="00975E90" w:rsidRDefault="00975E90" w:rsidP="00975E90">
      <w:pPr>
        <w:pStyle w:val="Textoindependiente"/>
        <w:widowControl w:val="0"/>
        <w:numPr>
          <w:ilvl w:val="0"/>
          <w:numId w:val="2"/>
        </w:numPr>
        <w:tabs>
          <w:tab w:val="clear" w:pos="1080"/>
          <w:tab w:val="left" w:pos="0"/>
        </w:tabs>
        <w:suppressAutoHyphens/>
        <w:spacing w:after="0"/>
        <w:ind w:left="567" w:hanging="567"/>
        <w:jc w:val="both"/>
        <w:rPr>
          <w:rFonts w:ascii="Tahoma" w:hAnsi="Tahoma" w:cs="Tahoma"/>
          <w:color w:val="000000"/>
          <w:sz w:val="22"/>
          <w:szCs w:val="22"/>
        </w:rPr>
      </w:pPr>
      <w:r w:rsidRPr="00975E90">
        <w:rPr>
          <w:rFonts w:ascii="Tahoma" w:hAnsi="Tahoma" w:cs="Tahoma"/>
          <w:color w:val="000000"/>
          <w:sz w:val="22"/>
          <w:szCs w:val="22"/>
        </w:rPr>
        <w:t xml:space="preserve">Asimismo, la Contratista ha alegado que </w:t>
      </w:r>
      <w:r w:rsidRPr="00975E90">
        <w:rPr>
          <w:rFonts w:ascii="Tahoma" w:hAnsi="Tahoma" w:cs="Tahoma"/>
          <w:sz w:val="22"/>
          <w:szCs w:val="22"/>
        </w:rPr>
        <w:t>la entrega del producto es para el Programa del Vaso de Leche, y no para comercializar a terceros, consignándose en las bolsas de entrega que se encuentra prohibida su comercialización, por lo tanto, se acredita que se ha incurrido en un error de interpretación al pretender imputarle como infracción comercializar un producto con una denominación distinta a la que figura en su registro sanitario.</w:t>
      </w:r>
    </w:p>
    <w:p w:rsidR="00975E90" w:rsidRPr="00975E90" w:rsidRDefault="00975E90" w:rsidP="00975E90">
      <w:pPr>
        <w:pStyle w:val="Textoindependiente"/>
        <w:widowControl w:val="0"/>
        <w:tabs>
          <w:tab w:val="left" w:pos="0"/>
        </w:tabs>
        <w:suppressAutoHyphens/>
        <w:spacing w:after="0"/>
        <w:ind w:left="567"/>
        <w:jc w:val="both"/>
        <w:rPr>
          <w:rFonts w:ascii="Tahoma" w:hAnsi="Tahoma" w:cs="Tahoma"/>
          <w:sz w:val="22"/>
          <w:szCs w:val="22"/>
        </w:rPr>
      </w:pPr>
    </w:p>
    <w:p w:rsidR="00975E90" w:rsidRPr="00975E90" w:rsidRDefault="00975E90" w:rsidP="00975E90">
      <w:pPr>
        <w:pStyle w:val="Textoindependiente"/>
        <w:widowControl w:val="0"/>
        <w:tabs>
          <w:tab w:val="left" w:pos="0"/>
        </w:tabs>
        <w:suppressAutoHyphens/>
        <w:spacing w:after="0"/>
        <w:ind w:left="567"/>
        <w:jc w:val="both"/>
        <w:rPr>
          <w:rFonts w:ascii="Tahoma" w:hAnsi="Tahoma" w:cs="Tahoma"/>
          <w:color w:val="000000"/>
          <w:sz w:val="22"/>
          <w:szCs w:val="22"/>
        </w:rPr>
      </w:pPr>
      <w:r w:rsidRPr="00975E90">
        <w:rPr>
          <w:rFonts w:ascii="Tahoma" w:hAnsi="Tahoma" w:cs="Tahoma"/>
          <w:sz w:val="22"/>
          <w:szCs w:val="22"/>
        </w:rPr>
        <w:t xml:space="preserve">Al respecto, cabe precisar que no tiene sustento lo alegado por la Recurrente, toda vez que si ha comercializado dicho producto a terceros, es decir a la Entidad, toda vez que en virtud del Contrato Nº 001-2009-MDI-GA, efectuó una operación comercial de venta de dicho producto, a fin de suministrar a la Entidad 49,948.57 kgrs. </w:t>
      </w:r>
      <w:proofErr w:type="gramStart"/>
      <w:r w:rsidRPr="00975E90">
        <w:rPr>
          <w:rFonts w:ascii="Tahoma" w:hAnsi="Tahoma" w:cs="Tahoma"/>
          <w:sz w:val="22"/>
          <w:szCs w:val="22"/>
        </w:rPr>
        <w:t>de</w:t>
      </w:r>
      <w:proofErr w:type="gramEnd"/>
      <w:r w:rsidRPr="00975E90">
        <w:rPr>
          <w:rFonts w:ascii="Tahoma" w:hAnsi="Tahoma" w:cs="Tahoma"/>
          <w:sz w:val="22"/>
          <w:szCs w:val="22"/>
        </w:rPr>
        <w:t xml:space="preserve"> hojuela de quinua enriquecida con vitaminas y minerales. </w:t>
      </w:r>
    </w:p>
    <w:p w:rsidR="00975E90" w:rsidRPr="00975E90" w:rsidRDefault="00975E90" w:rsidP="00975E90">
      <w:pPr>
        <w:pStyle w:val="Textoindependiente"/>
        <w:widowControl w:val="0"/>
        <w:tabs>
          <w:tab w:val="left" w:pos="0"/>
        </w:tabs>
        <w:suppressAutoHyphens/>
        <w:spacing w:after="0"/>
        <w:ind w:left="567"/>
        <w:jc w:val="both"/>
        <w:rPr>
          <w:rFonts w:ascii="Tahoma" w:hAnsi="Tahoma" w:cs="Tahoma"/>
          <w:color w:val="000000"/>
          <w:sz w:val="22"/>
          <w:szCs w:val="22"/>
        </w:rPr>
      </w:pPr>
    </w:p>
    <w:p w:rsidR="00975E90" w:rsidRPr="00975E90" w:rsidRDefault="00975E90" w:rsidP="00975E90">
      <w:pPr>
        <w:pStyle w:val="Textoindependiente"/>
        <w:widowControl w:val="0"/>
        <w:numPr>
          <w:ilvl w:val="0"/>
          <w:numId w:val="2"/>
        </w:numPr>
        <w:tabs>
          <w:tab w:val="clear" w:pos="1080"/>
          <w:tab w:val="left" w:pos="0"/>
        </w:tabs>
        <w:suppressAutoHyphens/>
        <w:spacing w:after="0"/>
        <w:ind w:left="567" w:hanging="567"/>
        <w:jc w:val="both"/>
        <w:rPr>
          <w:rFonts w:ascii="Tahoma" w:hAnsi="Tahoma" w:cs="Tahoma"/>
          <w:color w:val="000000"/>
          <w:sz w:val="22"/>
          <w:szCs w:val="22"/>
        </w:rPr>
      </w:pPr>
      <w:r w:rsidRPr="00975E90">
        <w:rPr>
          <w:rFonts w:ascii="Tahoma" w:hAnsi="Tahoma" w:cs="Tahoma"/>
          <w:color w:val="000000"/>
          <w:sz w:val="22"/>
          <w:szCs w:val="22"/>
        </w:rPr>
        <w:t xml:space="preserve">Por otra parte, la Recurrente ha señalado que existe incongruencia entre lo señalado en los numerales </w:t>
      </w:r>
      <w:r w:rsidRPr="00975E90">
        <w:rPr>
          <w:rFonts w:ascii="Tahoma" w:hAnsi="Tahoma" w:cs="Tahoma"/>
          <w:sz w:val="22"/>
          <w:szCs w:val="22"/>
        </w:rPr>
        <w:t>17 y 18 de la fundamentación</w:t>
      </w:r>
      <w:r w:rsidRPr="00975E90">
        <w:rPr>
          <w:rFonts w:ascii="Tahoma" w:hAnsi="Tahoma" w:cs="Tahoma"/>
          <w:color w:val="000000"/>
          <w:sz w:val="22"/>
          <w:szCs w:val="22"/>
        </w:rPr>
        <w:t xml:space="preserve"> de la resolución recurrida,</w:t>
      </w:r>
      <w:r w:rsidRPr="00975E90">
        <w:rPr>
          <w:rFonts w:ascii="Tahoma" w:hAnsi="Tahoma" w:cs="Tahoma"/>
          <w:sz w:val="22"/>
          <w:szCs w:val="22"/>
        </w:rPr>
        <w:t xml:space="preserve"> toda vez que por un lado se aceptó el registro sanitario presentado y luego se sanciona por usar el registro sanitario aceptado en la bolsa de entrega del producto, es decir que se les otorgó la buena pro a su producto ofertado, aceptando su registro sanitario, sin embargo, contradiciendo las Bases y el contrato, se les sancionó por usar el registro sanitario aceptado.</w:t>
      </w:r>
    </w:p>
    <w:p w:rsidR="00975E90" w:rsidRPr="00975E90" w:rsidRDefault="00975E90" w:rsidP="00975E90">
      <w:pPr>
        <w:pStyle w:val="Textoindependiente"/>
        <w:widowControl w:val="0"/>
        <w:tabs>
          <w:tab w:val="left" w:pos="0"/>
        </w:tabs>
        <w:suppressAutoHyphens/>
        <w:spacing w:after="0"/>
        <w:ind w:left="567"/>
        <w:jc w:val="both"/>
        <w:rPr>
          <w:rFonts w:ascii="Tahoma" w:hAnsi="Tahoma" w:cs="Tahoma"/>
          <w:color w:val="000000"/>
          <w:sz w:val="22"/>
          <w:szCs w:val="22"/>
        </w:rPr>
      </w:pPr>
    </w:p>
    <w:p w:rsidR="00975E90" w:rsidRPr="00975E90" w:rsidRDefault="00975E90" w:rsidP="00975E90">
      <w:pPr>
        <w:pStyle w:val="Textoindependiente"/>
        <w:widowControl w:val="0"/>
        <w:numPr>
          <w:ilvl w:val="0"/>
          <w:numId w:val="2"/>
        </w:numPr>
        <w:tabs>
          <w:tab w:val="clear" w:pos="1080"/>
          <w:tab w:val="left" w:pos="0"/>
        </w:tabs>
        <w:suppressAutoHyphens/>
        <w:spacing w:after="0"/>
        <w:ind w:left="567" w:hanging="567"/>
        <w:jc w:val="both"/>
        <w:rPr>
          <w:rFonts w:ascii="Tahoma" w:hAnsi="Tahoma" w:cs="Tahoma"/>
          <w:color w:val="000000"/>
          <w:sz w:val="22"/>
          <w:szCs w:val="22"/>
        </w:rPr>
      </w:pPr>
      <w:r w:rsidRPr="00975E90">
        <w:rPr>
          <w:rFonts w:ascii="Tahoma" w:hAnsi="Tahoma" w:cs="Tahoma"/>
          <w:color w:val="000000"/>
          <w:sz w:val="22"/>
          <w:szCs w:val="22"/>
        </w:rPr>
        <w:t xml:space="preserve">Al respecto, cabe precisar que lo alegado por la Recurrente carece de sustento, toda vez que no se le está sancionando por utilizar el registro sanitario declarado en su propuesta, sino que se le está sancionado por haber consignado que dicho registro corresponde al producto denominado Hojuela de Quinua Enriquecida con Cereales Vitaminas y Minerales, cuando en la realidad corresponde al producto denominado Hojuelas de Cereales Enriquecidos con Vitaminas y Minerales </w:t>
      </w:r>
      <w:r w:rsidRPr="00975E90">
        <w:rPr>
          <w:rFonts w:ascii="Tahoma" w:hAnsi="Tahoma" w:cs="Tahoma"/>
          <w:b/>
          <w:color w:val="000000"/>
          <w:sz w:val="22"/>
          <w:szCs w:val="22"/>
          <w:u w:val="single"/>
        </w:rPr>
        <w:t>“Grano de Oro”</w:t>
      </w:r>
      <w:r w:rsidRPr="00975E90">
        <w:rPr>
          <w:rFonts w:ascii="Tahoma" w:hAnsi="Tahoma" w:cs="Tahoma"/>
          <w:color w:val="000000"/>
          <w:sz w:val="22"/>
          <w:szCs w:val="22"/>
        </w:rPr>
        <w:t>.</w:t>
      </w:r>
    </w:p>
    <w:p w:rsidR="00975E90" w:rsidRDefault="00975E90" w:rsidP="00975E90">
      <w:pPr>
        <w:pStyle w:val="Prrafodelista"/>
        <w:rPr>
          <w:rFonts w:ascii="Tahoma" w:hAnsi="Tahoma" w:cs="Tahoma"/>
          <w:color w:val="000000"/>
          <w:sz w:val="22"/>
          <w:szCs w:val="22"/>
        </w:rPr>
      </w:pPr>
    </w:p>
    <w:p w:rsidR="00975E90" w:rsidRDefault="00975E90" w:rsidP="00975E90">
      <w:pPr>
        <w:pStyle w:val="Prrafodelista"/>
        <w:rPr>
          <w:rFonts w:ascii="Tahoma" w:hAnsi="Tahoma" w:cs="Tahoma"/>
          <w:color w:val="000000"/>
          <w:sz w:val="22"/>
          <w:szCs w:val="22"/>
        </w:rPr>
      </w:pPr>
    </w:p>
    <w:p w:rsidR="00975E90" w:rsidRDefault="00975E90" w:rsidP="00975E90">
      <w:pPr>
        <w:pStyle w:val="Prrafodelista"/>
        <w:rPr>
          <w:rFonts w:ascii="Tahoma" w:hAnsi="Tahoma" w:cs="Tahoma"/>
          <w:color w:val="000000"/>
          <w:sz w:val="22"/>
          <w:szCs w:val="22"/>
        </w:rPr>
      </w:pPr>
    </w:p>
    <w:p w:rsidR="00975E90" w:rsidRPr="00975E90" w:rsidRDefault="00975E90" w:rsidP="00975E90">
      <w:pPr>
        <w:pStyle w:val="Prrafodelista"/>
        <w:rPr>
          <w:rFonts w:ascii="Tahoma" w:hAnsi="Tahoma" w:cs="Tahoma"/>
          <w:color w:val="000000"/>
          <w:sz w:val="22"/>
          <w:szCs w:val="22"/>
        </w:rPr>
      </w:pPr>
    </w:p>
    <w:p w:rsidR="00975E90" w:rsidRPr="00975E90" w:rsidRDefault="00975E90" w:rsidP="00975E90">
      <w:pPr>
        <w:pStyle w:val="Textoindependiente"/>
        <w:widowControl w:val="0"/>
        <w:tabs>
          <w:tab w:val="left" w:pos="0"/>
        </w:tabs>
        <w:suppressAutoHyphens/>
        <w:spacing w:after="0"/>
        <w:ind w:left="567"/>
        <w:jc w:val="both"/>
        <w:rPr>
          <w:rFonts w:ascii="Tahoma" w:hAnsi="Tahoma" w:cs="Tahoma"/>
          <w:sz w:val="22"/>
          <w:szCs w:val="22"/>
        </w:rPr>
      </w:pPr>
      <w:r w:rsidRPr="00975E90">
        <w:rPr>
          <w:rFonts w:ascii="Tahoma" w:hAnsi="Tahoma" w:cs="Tahoma"/>
          <w:color w:val="000000"/>
          <w:sz w:val="22"/>
          <w:szCs w:val="22"/>
          <w:lang w:val="es-ES_tradnl"/>
        </w:rPr>
        <w:t xml:space="preserve">Asimismo, se debe señalar que no existe incongruencia entre lo señalado en los numerales 17 y 18 de la resolución recurrida, toda vez que en el numeral 17 se hace referencia a que lo señalado en el numeral 7) de la Documentación de Presentación Obligatoria del Capítulo II de las Bases Administrativas, no otorga la facultad a los postores de comercializar un producto con una denominación distinta a la que figura en su registro, mientras que en el numeral 18, se indica una cuestión totalmente diferente, toda vez que se concluye que a través de los Certificados Físico – Químico </w:t>
      </w:r>
      <w:r w:rsidRPr="00975E90">
        <w:rPr>
          <w:rFonts w:ascii="Tahoma" w:hAnsi="Tahoma" w:cs="Tahoma"/>
          <w:color w:val="000000"/>
          <w:sz w:val="22"/>
          <w:szCs w:val="22"/>
        </w:rPr>
        <w:t>Nº 1645B-2009, Certificados Microbiológico Nº 1645B-2009 y el Certificados Organoléptico Bº 164C-2009, no se acreditaría que la denominación “Hojuelas de Quinua Enriquecida con cereales vitaminas y minerales Granos de Oro” corresponden al Registro Sanitario E5719408N NAARSN.</w:t>
      </w:r>
    </w:p>
    <w:p w:rsidR="00975E90" w:rsidRPr="00975E90" w:rsidRDefault="00975E90" w:rsidP="00975E90">
      <w:pPr>
        <w:pStyle w:val="Textoindependiente"/>
        <w:widowControl w:val="0"/>
        <w:tabs>
          <w:tab w:val="left" w:pos="0"/>
        </w:tabs>
        <w:suppressAutoHyphens/>
        <w:spacing w:after="0"/>
        <w:jc w:val="both"/>
        <w:rPr>
          <w:rFonts w:ascii="Tahoma" w:hAnsi="Tahoma" w:cs="Tahoma"/>
          <w:sz w:val="22"/>
          <w:szCs w:val="22"/>
        </w:rPr>
      </w:pPr>
    </w:p>
    <w:p w:rsidR="00975E90" w:rsidRPr="00975E90" w:rsidRDefault="00975E90" w:rsidP="00975E90">
      <w:pPr>
        <w:pStyle w:val="Textoindependiente"/>
        <w:widowControl w:val="0"/>
        <w:numPr>
          <w:ilvl w:val="0"/>
          <w:numId w:val="2"/>
        </w:numPr>
        <w:tabs>
          <w:tab w:val="clear" w:pos="1080"/>
          <w:tab w:val="left" w:pos="-2340"/>
        </w:tabs>
        <w:suppressAutoHyphens/>
        <w:spacing w:after="0"/>
        <w:ind w:left="540" w:hanging="540"/>
        <w:jc w:val="both"/>
        <w:rPr>
          <w:rFonts w:ascii="Tahoma" w:hAnsi="Tahoma" w:cs="Tahoma"/>
          <w:sz w:val="22"/>
          <w:szCs w:val="22"/>
        </w:rPr>
      </w:pPr>
      <w:r w:rsidRPr="00975E90">
        <w:rPr>
          <w:rFonts w:ascii="Tahoma" w:hAnsi="Tahoma" w:cs="Tahoma"/>
          <w:sz w:val="22"/>
          <w:szCs w:val="22"/>
        </w:rPr>
        <w:t xml:space="preserve">Por lo antes expuesto, corresponde declarar infundado el recurso de reconsideración interpuesto, confirmando lo dispuesto por la Resolución </w:t>
      </w:r>
      <w:r w:rsidRPr="00975E90">
        <w:rPr>
          <w:rFonts w:ascii="Tahoma" w:hAnsi="Tahoma" w:cs="Tahoma"/>
          <w:color w:val="000000" w:themeColor="text1"/>
          <w:sz w:val="22"/>
          <w:szCs w:val="22"/>
        </w:rPr>
        <w:t xml:space="preserve">Nº </w:t>
      </w:r>
      <w:r w:rsidRPr="00975E90">
        <w:rPr>
          <w:rFonts w:ascii="Tahoma" w:hAnsi="Tahoma" w:cs="Tahoma"/>
          <w:sz w:val="22"/>
          <w:szCs w:val="22"/>
        </w:rPr>
        <w:t>2395-2010-TC-S1 de fecha 28 de diciembre de 2010 y, por tanto imponerle la sanción administrativa de inhabilitación temporal en sus derechos para participar en procesos de selección y contratar con el Estado, por el periodo de doce (12) meses.</w:t>
      </w:r>
    </w:p>
    <w:p w:rsidR="00975E90" w:rsidRPr="00975E90" w:rsidRDefault="00975E90" w:rsidP="00975E90">
      <w:pPr>
        <w:jc w:val="both"/>
        <w:rPr>
          <w:rFonts w:ascii="Tahoma" w:hAnsi="Tahoma" w:cs="Tahoma"/>
          <w:sz w:val="22"/>
          <w:szCs w:val="22"/>
        </w:rPr>
      </w:pPr>
    </w:p>
    <w:p w:rsidR="00975E90" w:rsidRPr="00975E90" w:rsidRDefault="00975E90" w:rsidP="00975E90">
      <w:pPr>
        <w:ind w:firstLine="567"/>
        <w:jc w:val="both"/>
        <w:rPr>
          <w:rFonts w:ascii="Tahoma" w:eastAsia="Calibri" w:hAnsi="Tahoma" w:cs="Tahoma"/>
          <w:color w:val="000000"/>
          <w:sz w:val="22"/>
          <w:szCs w:val="22"/>
        </w:rPr>
      </w:pPr>
      <w:r w:rsidRPr="00975E90">
        <w:rPr>
          <w:rFonts w:ascii="Tahoma" w:eastAsia="Calibri" w:hAnsi="Tahoma" w:cs="Tahoma"/>
          <w:color w:val="000000"/>
          <w:sz w:val="22"/>
          <w:szCs w:val="22"/>
        </w:rPr>
        <w:t>Por estos fundamentos, de conformidad con el informe de la Vocal Ponente Dra. Ada Rosa Basulto Liewald y la intervención de los Señores Vocales Dra. Janette Elke Ramírez Maynetto y Dr. Carlos Fernando Fonseca Oliveira; atendiendo a la conformación de la Primera Sala del Tribunal de Contrataciones del Estado según lo dispuesto en la Resolución Nº 190-2010-OSCE/PRE de fecha 29 de marzo de 2010, en ejercicio de las facultades conferidas en el artículo 63º de la Ley de Contrataciones del Estado, aprobado por Decreto Legislativo Nº 1017, y su segunda disposición complementaria transitoria, así como los artículos 17º y 18º del Reglamento de Organización y Funciones del OSCE, aprobado por Decreto Supremo Nº 006-2009-EF; analizados los antecedentes y luego de agotado el debate correspondiente, por unanimidad</w:t>
      </w:r>
    </w:p>
    <w:p w:rsidR="00975E90" w:rsidRPr="00975E90" w:rsidRDefault="00975E90" w:rsidP="00975E90">
      <w:pPr>
        <w:ind w:firstLine="426"/>
        <w:jc w:val="both"/>
        <w:rPr>
          <w:rFonts w:ascii="Tahoma" w:hAnsi="Tahoma" w:cs="Tahoma"/>
          <w:sz w:val="22"/>
          <w:szCs w:val="22"/>
        </w:rPr>
      </w:pPr>
    </w:p>
    <w:p w:rsidR="00975E90" w:rsidRPr="00975E90" w:rsidRDefault="00975E90" w:rsidP="00975E90">
      <w:pPr>
        <w:ind w:firstLine="567"/>
        <w:jc w:val="both"/>
        <w:rPr>
          <w:rFonts w:ascii="Tahoma" w:hAnsi="Tahoma" w:cs="Tahoma"/>
          <w:b/>
          <w:sz w:val="22"/>
          <w:szCs w:val="22"/>
        </w:rPr>
      </w:pPr>
      <w:r w:rsidRPr="00975E90">
        <w:rPr>
          <w:rFonts w:ascii="Tahoma" w:hAnsi="Tahoma" w:cs="Tahoma"/>
          <w:b/>
          <w:sz w:val="22"/>
          <w:szCs w:val="22"/>
        </w:rPr>
        <w:t xml:space="preserve">LA SALA RESUELVE: </w:t>
      </w:r>
    </w:p>
    <w:p w:rsidR="00975E90" w:rsidRPr="00975E90" w:rsidRDefault="00975E90" w:rsidP="00975E90">
      <w:pPr>
        <w:jc w:val="both"/>
        <w:rPr>
          <w:rFonts w:ascii="Tahoma" w:hAnsi="Tahoma" w:cs="Tahoma"/>
          <w:snapToGrid w:val="0"/>
          <w:sz w:val="22"/>
          <w:szCs w:val="22"/>
        </w:rPr>
      </w:pPr>
    </w:p>
    <w:p w:rsidR="00975E90" w:rsidRPr="00975E90" w:rsidRDefault="00975E90" w:rsidP="00975E90">
      <w:pPr>
        <w:pStyle w:val="Prrafodelista1"/>
        <w:numPr>
          <w:ilvl w:val="0"/>
          <w:numId w:val="10"/>
        </w:numPr>
        <w:tabs>
          <w:tab w:val="clear" w:pos="760"/>
        </w:tabs>
        <w:ind w:left="567" w:hanging="567"/>
        <w:jc w:val="both"/>
        <w:rPr>
          <w:rFonts w:ascii="Tahoma" w:hAnsi="Tahoma" w:cs="Tahoma"/>
          <w:sz w:val="22"/>
          <w:szCs w:val="22"/>
        </w:rPr>
      </w:pPr>
      <w:r w:rsidRPr="00975E90">
        <w:rPr>
          <w:rFonts w:ascii="Tahoma" w:hAnsi="Tahoma" w:cs="Tahoma"/>
          <w:sz w:val="22"/>
          <w:szCs w:val="22"/>
        </w:rPr>
        <w:t>Declarar infundado el recurso de reconsideración interpuesto, confirmando lo dispuesto por la Resolución Nº 2395-2010-TC-S1 de fecha 28 de diciembre de 2010  y, por tanto, ratificar la sanción impuesta a</w:t>
      </w:r>
      <w:r w:rsidRPr="00975E90">
        <w:rPr>
          <w:rFonts w:ascii="Tahoma" w:hAnsi="Tahoma" w:cs="Tahoma"/>
          <w:color w:val="000000"/>
          <w:sz w:val="22"/>
          <w:szCs w:val="22"/>
        </w:rPr>
        <w:t xml:space="preserve"> </w:t>
      </w:r>
      <w:r w:rsidRPr="00975E90">
        <w:rPr>
          <w:rFonts w:ascii="Tahoma" w:hAnsi="Tahoma" w:cs="Tahoma"/>
          <w:sz w:val="22"/>
          <w:szCs w:val="22"/>
        </w:rPr>
        <w:t>la empresa AGROINDUSTRIA SANTA MARIA S.A.C., de inhabilitación temporal en sus derechos para participar en procesos de selección y contratar con el Estado, por el periodo de doce (12) meses.</w:t>
      </w:r>
    </w:p>
    <w:p w:rsidR="00975E90" w:rsidRPr="00975E90" w:rsidRDefault="00975E90" w:rsidP="00975E90">
      <w:pPr>
        <w:pStyle w:val="Prrafodelista"/>
        <w:rPr>
          <w:rFonts w:ascii="Tahoma" w:hAnsi="Tahoma" w:cs="Tahoma"/>
          <w:sz w:val="22"/>
          <w:szCs w:val="22"/>
        </w:rPr>
      </w:pPr>
    </w:p>
    <w:p w:rsidR="00975E90" w:rsidRPr="00975E90" w:rsidRDefault="00975E90" w:rsidP="00975E90">
      <w:pPr>
        <w:pStyle w:val="Prrafodelista"/>
        <w:numPr>
          <w:ilvl w:val="0"/>
          <w:numId w:val="10"/>
        </w:numPr>
        <w:tabs>
          <w:tab w:val="clear" w:pos="760"/>
        </w:tabs>
        <w:ind w:left="567" w:hanging="567"/>
        <w:jc w:val="both"/>
        <w:rPr>
          <w:rFonts w:ascii="Tahoma" w:hAnsi="Tahoma" w:cs="Tahoma"/>
          <w:sz w:val="22"/>
          <w:szCs w:val="22"/>
        </w:rPr>
      </w:pPr>
      <w:r w:rsidRPr="00975E90">
        <w:rPr>
          <w:rFonts w:ascii="Tahoma" w:hAnsi="Tahoma" w:cs="Tahoma"/>
          <w:sz w:val="22"/>
          <w:szCs w:val="22"/>
        </w:rPr>
        <w:t xml:space="preserve">Comunicar la presente resolución al Registro Nacional de Proveedores del Organismo Supervisor de las Contrataciones del Estado (OSCE), para las </w:t>
      </w:r>
      <w:r w:rsidRPr="00975E90">
        <w:rPr>
          <w:rFonts w:ascii="Tahoma" w:hAnsi="Tahoma" w:cs="Tahoma"/>
          <w:sz w:val="22"/>
          <w:szCs w:val="22"/>
        </w:rPr>
        <w:lastRenderedPageBreak/>
        <w:t>anotaciones de Ley</w:t>
      </w:r>
    </w:p>
    <w:p w:rsidR="00975E90" w:rsidRPr="00975E90" w:rsidRDefault="00975E90" w:rsidP="00975E90">
      <w:pPr>
        <w:pStyle w:val="Prrafodelista"/>
        <w:rPr>
          <w:rFonts w:ascii="Tahoma" w:hAnsi="Tahoma" w:cs="Tahoma"/>
          <w:sz w:val="22"/>
          <w:szCs w:val="22"/>
        </w:rPr>
      </w:pPr>
    </w:p>
    <w:p w:rsidR="00975E90" w:rsidRPr="00975E90" w:rsidRDefault="00975E90" w:rsidP="00975E90">
      <w:pPr>
        <w:pStyle w:val="Prrafodelista"/>
        <w:numPr>
          <w:ilvl w:val="0"/>
          <w:numId w:val="10"/>
        </w:numPr>
        <w:tabs>
          <w:tab w:val="clear" w:pos="760"/>
        </w:tabs>
        <w:ind w:left="567" w:hanging="567"/>
        <w:jc w:val="both"/>
        <w:rPr>
          <w:rFonts w:ascii="Tahoma" w:hAnsi="Tahoma" w:cs="Tahoma"/>
          <w:sz w:val="22"/>
          <w:szCs w:val="22"/>
        </w:rPr>
      </w:pPr>
      <w:r w:rsidRPr="00975E90">
        <w:rPr>
          <w:rFonts w:ascii="Tahoma" w:hAnsi="Tahoma" w:cs="Tahoma"/>
          <w:sz w:val="22"/>
          <w:szCs w:val="22"/>
        </w:rPr>
        <w:t>Ejecutar la garantía otorgada por la empresa AGROINDUSTRIA SANTA MARIA S.A.C. para la interposición del recurso de reconsideración.</w:t>
      </w:r>
    </w:p>
    <w:p w:rsidR="00975E90" w:rsidRPr="00975E90" w:rsidRDefault="00975E90" w:rsidP="00975E90">
      <w:pPr>
        <w:pStyle w:val="Prrafodelista"/>
        <w:rPr>
          <w:rFonts w:ascii="Tahoma" w:hAnsi="Tahoma" w:cs="Tahoma"/>
          <w:sz w:val="22"/>
          <w:szCs w:val="22"/>
        </w:rPr>
      </w:pPr>
    </w:p>
    <w:p w:rsidR="00975E90" w:rsidRPr="00975E90" w:rsidRDefault="00975E90" w:rsidP="00975E90">
      <w:pPr>
        <w:pStyle w:val="Prrafodelista"/>
        <w:numPr>
          <w:ilvl w:val="0"/>
          <w:numId w:val="10"/>
        </w:numPr>
        <w:tabs>
          <w:tab w:val="clear" w:pos="760"/>
        </w:tabs>
        <w:ind w:left="567" w:hanging="567"/>
        <w:jc w:val="both"/>
        <w:rPr>
          <w:rFonts w:ascii="Tahoma" w:hAnsi="Tahoma" w:cs="Tahoma"/>
          <w:sz w:val="22"/>
          <w:szCs w:val="22"/>
        </w:rPr>
      </w:pPr>
      <w:r w:rsidRPr="00975E90">
        <w:rPr>
          <w:rFonts w:ascii="Tahoma" w:hAnsi="Tahoma" w:cs="Tahoma"/>
          <w:sz w:val="22"/>
          <w:szCs w:val="22"/>
        </w:rPr>
        <w:t>Dar por agotada la vía administrativa.</w:t>
      </w:r>
    </w:p>
    <w:p w:rsidR="00975E90" w:rsidRPr="00975E90" w:rsidRDefault="00975E90" w:rsidP="00975E90">
      <w:pPr>
        <w:pStyle w:val="Prrafodelista"/>
        <w:ind w:left="426"/>
        <w:jc w:val="both"/>
        <w:rPr>
          <w:rFonts w:ascii="Tahoma" w:hAnsi="Tahoma" w:cs="Tahoma"/>
          <w:color w:val="000000" w:themeColor="text1"/>
          <w:sz w:val="22"/>
          <w:szCs w:val="22"/>
        </w:rPr>
      </w:pPr>
    </w:p>
    <w:p w:rsidR="00975E90" w:rsidRPr="00975E90" w:rsidRDefault="00975E90" w:rsidP="00975E90">
      <w:pPr>
        <w:pStyle w:val="Textoindependiente21"/>
        <w:ind w:firstLine="567"/>
        <w:rPr>
          <w:rFonts w:cs="Tahoma"/>
          <w:szCs w:val="22"/>
        </w:rPr>
      </w:pPr>
      <w:r w:rsidRPr="00975E90">
        <w:rPr>
          <w:rFonts w:cs="Tahoma"/>
          <w:szCs w:val="22"/>
        </w:rPr>
        <w:t>Regístrese, comuníquese y publíquese.</w:t>
      </w:r>
    </w:p>
    <w:p w:rsidR="00975E90" w:rsidRPr="00975E90" w:rsidRDefault="00975E90" w:rsidP="00975E90">
      <w:pPr>
        <w:jc w:val="center"/>
        <w:rPr>
          <w:rFonts w:ascii="Tahoma" w:hAnsi="Tahoma" w:cs="Tahoma"/>
          <w:b/>
          <w:sz w:val="22"/>
          <w:szCs w:val="22"/>
        </w:rPr>
      </w:pPr>
    </w:p>
    <w:p w:rsidR="00975E90" w:rsidRPr="00975E90" w:rsidRDefault="00975E90" w:rsidP="00975E90">
      <w:pPr>
        <w:jc w:val="center"/>
        <w:rPr>
          <w:rFonts w:ascii="Tahoma" w:hAnsi="Tahoma" w:cs="Tahoma"/>
          <w:b/>
          <w:sz w:val="22"/>
          <w:szCs w:val="22"/>
        </w:rPr>
      </w:pPr>
    </w:p>
    <w:p w:rsidR="00975E90" w:rsidRPr="00975E90" w:rsidRDefault="00975E90" w:rsidP="00975E90">
      <w:pPr>
        <w:jc w:val="center"/>
        <w:rPr>
          <w:rFonts w:ascii="Tahoma" w:hAnsi="Tahoma" w:cs="Tahoma"/>
          <w:b/>
          <w:sz w:val="22"/>
          <w:szCs w:val="22"/>
        </w:rPr>
      </w:pPr>
    </w:p>
    <w:p w:rsidR="00975E90" w:rsidRPr="00975E90" w:rsidRDefault="00975E90" w:rsidP="00975E90">
      <w:pPr>
        <w:jc w:val="center"/>
        <w:rPr>
          <w:rFonts w:ascii="Tahoma" w:hAnsi="Tahoma" w:cs="Tahoma"/>
          <w:b/>
          <w:sz w:val="22"/>
          <w:szCs w:val="22"/>
        </w:rPr>
      </w:pPr>
    </w:p>
    <w:p w:rsidR="00975E90" w:rsidRPr="00975E90" w:rsidRDefault="00975E90" w:rsidP="00975E90">
      <w:pPr>
        <w:jc w:val="center"/>
        <w:rPr>
          <w:rFonts w:ascii="Tahoma" w:hAnsi="Tahoma" w:cs="Tahoma"/>
          <w:b/>
          <w:sz w:val="22"/>
          <w:szCs w:val="22"/>
        </w:rPr>
      </w:pPr>
    </w:p>
    <w:p w:rsidR="00975E90" w:rsidRPr="00975E90" w:rsidRDefault="00975E90" w:rsidP="00975E90">
      <w:pPr>
        <w:jc w:val="center"/>
        <w:rPr>
          <w:rFonts w:ascii="Tahoma" w:hAnsi="Tahoma" w:cs="Tahoma"/>
          <w:b/>
          <w:sz w:val="22"/>
          <w:szCs w:val="22"/>
        </w:rPr>
      </w:pPr>
    </w:p>
    <w:p w:rsidR="00975E90" w:rsidRPr="00975E90" w:rsidRDefault="00975E90" w:rsidP="00975E90">
      <w:pPr>
        <w:jc w:val="center"/>
        <w:rPr>
          <w:rFonts w:ascii="Tahoma" w:hAnsi="Tahoma" w:cs="Tahoma"/>
          <w:b/>
          <w:shadow/>
          <w:sz w:val="22"/>
          <w:szCs w:val="22"/>
          <w:lang w:val="pt-BR"/>
        </w:rPr>
      </w:pPr>
      <w:r w:rsidRPr="00975E90">
        <w:rPr>
          <w:rFonts w:ascii="Tahoma" w:hAnsi="Tahoma" w:cs="Tahoma"/>
          <w:b/>
          <w:shadow/>
          <w:sz w:val="22"/>
          <w:szCs w:val="22"/>
          <w:lang w:val="pt-BR"/>
        </w:rPr>
        <w:t>PRESIDENTE</w:t>
      </w:r>
    </w:p>
    <w:p w:rsidR="00975E90" w:rsidRPr="00975E90" w:rsidRDefault="00975E90" w:rsidP="00975E90">
      <w:pPr>
        <w:ind w:firstLine="708"/>
        <w:rPr>
          <w:rFonts w:ascii="Tahoma" w:hAnsi="Tahoma" w:cs="Tahoma"/>
          <w:b/>
          <w:shadow/>
          <w:sz w:val="22"/>
          <w:szCs w:val="22"/>
          <w:lang w:val="pt-BR"/>
        </w:rPr>
      </w:pPr>
    </w:p>
    <w:p w:rsidR="00975E90" w:rsidRPr="00975E90" w:rsidRDefault="00975E90" w:rsidP="00975E90">
      <w:pPr>
        <w:ind w:firstLine="708"/>
        <w:rPr>
          <w:rFonts w:ascii="Tahoma" w:hAnsi="Tahoma" w:cs="Tahoma"/>
          <w:b/>
          <w:shadow/>
          <w:sz w:val="22"/>
          <w:szCs w:val="22"/>
          <w:lang w:val="pt-BR"/>
        </w:rPr>
      </w:pPr>
      <w:r w:rsidRPr="00975E90">
        <w:rPr>
          <w:rFonts w:ascii="Tahoma" w:hAnsi="Tahoma" w:cs="Tahoma"/>
          <w:b/>
          <w:shadow/>
          <w:sz w:val="22"/>
          <w:szCs w:val="22"/>
          <w:lang w:val="pt-BR"/>
        </w:rPr>
        <w:t xml:space="preserve">VOCAL           </w:t>
      </w:r>
      <w:r w:rsidRPr="00975E90">
        <w:rPr>
          <w:rFonts w:ascii="Tahoma" w:hAnsi="Tahoma" w:cs="Tahoma"/>
          <w:b/>
          <w:shadow/>
          <w:sz w:val="22"/>
          <w:szCs w:val="22"/>
          <w:lang w:val="pt-BR"/>
        </w:rPr>
        <w:tab/>
      </w:r>
      <w:r w:rsidRPr="00975E90">
        <w:rPr>
          <w:rFonts w:ascii="Tahoma" w:hAnsi="Tahoma" w:cs="Tahoma"/>
          <w:b/>
          <w:shadow/>
          <w:sz w:val="22"/>
          <w:szCs w:val="22"/>
          <w:lang w:val="pt-BR"/>
        </w:rPr>
        <w:tab/>
        <w:t xml:space="preserve">                                                       VOCAL</w:t>
      </w:r>
    </w:p>
    <w:p w:rsidR="00975E90" w:rsidRPr="00975E90" w:rsidRDefault="00975E90" w:rsidP="00975E90">
      <w:pPr>
        <w:rPr>
          <w:rFonts w:ascii="Tahoma" w:hAnsi="Tahoma" w:cs="Tahoma"/>
          <w:sz w:val="22"/>
          <w:szCs w:val="22"/>
          <w:lang w:val="pt-BR"/>
        </w:rPr>
      </w:pPr>
    </w:p>
    <w:p w:rsidR="00975E90" w:rsidRPr="00975E90" w:rsidRDefault="00975E90" w:rsidP="00975E90">
      <w:pPr>
        <w:jc w:val="both"/>
        <w:rPr>
          <w:rFonts w:ascii="Tahoma" w:hAnsi="Tahoma" w:cs="Tahoma"/>
          <w:sz w:val="22"/>
          <w:szCs w:val="22"/>
          <w:lang w:val="pt-BR"/>
        </w:rPr>
      </w:pPr>
      <w:proofErr w:type="gramStart"/>
      <w:r w:rsidRPr="00975E90">
        <w:rPr>
          <w:rFonts w:ascii="Tahoma" w:hAnsi="Tahoma" w:cs="Tahoma"/>
          <w:sz w:val="22"/>
          <w:szCs w:val="22"/>
          <w:lang w:val="pt-BR"/>
        </w:rPr>
        <w:t>ss.</w:t>
      </w:r>
      <w:proofErr w:type="gramEnd"/>
    </w:p>
    <w:p w:rsidR="00975E90" w:rsidRPr="00975E90" w:rsidRDefault="00975E90" w:rsidP="00975E90">
      <w:pPr>
        <w:pStyle w:val="Textoindependiente21"/>
        <w:tabs>
          <w:tab w:val="left" w:pos="5250"/>
        </w:tabs>
        <w:rPr>
          <w:rFonts w:cs="Tahoma"/>
          <w:szCs w:val="22"/>
          <w:lang w:val="pt-BR"/>
        </w:rPr>
      </w:pPr>
      <w:r w:rsidRPr="00975E90">
        <w:rPr>
          <w:rFonts w:cs="Tahoma"/>
          <w:szCs w:val="22"/>
          <w:lang w:val="pt-BR"/>
        </w:rPr>
        <w:t>Basulto Liewald.</w:t>
      </w:r>
    </w:p>
    <w:p w:rsidR="00975E90" w:rsidRPr="00975E90" w:rsidRDefault="00975E90" w:rsidP="00975E90">
      <w:pPr>
        <w:pStyle w:val="Textoindependiente21"/>
        <w:tabs>
          <w:tab w:val="left" w:pos="5250"/>
        </w:tabs>
        <w:rPr>
          <w:rFonts w:cs="Tahoma"/>
          <w:szCs w:val="22"/>
          <w:lang w:val="pt-BR"/>
        </w:rPr>
      </w:pPr>
      <w:r w:rsidRPr="00975E90">
        <w:rPr>
          <w:rFonts w:cs="Tahoma"/>
          <w:szCs w:val="22"/>
          <w:lang w:val="en-US"/>
        </w:rPr>
        <w:t>Ramírez Maynetto.</w:t>
      </w:r>
    </w:p>
    <w:p w:rsidR="00975E90" w:rsidRPr="00975E90" w:rsidRDefault="00975E90" w:rsidP="00975E90">
      <w:pPr>
        <w:pStyle w:val="Textoindependiente21"/>
        <w:rPr>
          <w:rFonts w:cs="Tahoma"/>
          <w:szCs w:val="22"/>
        </w:rPr>
      </w:pPr>
      <w:r w:rsidRPr="00975E90">
        <w:rPr>
          <w:rFonts w:cs="Tahoma"/>
          <w:szCs w:val="22"/>
        </w:rPr>
        <w:t>Fonseca Oliveira.</w:t>
      </w:r>
    </w:p>
    <w:p w:rsidR="00975E90" w:rsidRPr="00975E90" w:rsidRDefault="00975E90" w:rsidP="00975E90">
      <w:pPr>
        <w:rPr>
          <w:rFonts w:ascii="Tahoma" w:hAnsi="Tahoma" w:cs="Tahoma"/>
          <w:sz w:val="22"/>
          <w:szCs w:val="22"/>
        </w:rPr>
      </w:pPr>
    </w:p>
    <w:p w:rsidR="00975E90" w:rsidRPr="00975E90" w:rsidRDefault="00975E90" w:rsidP="00975E90">
      <w:pPr>
        <w:rPr>
          <w:sz w:val="22"/>
          <w:szCs w:val="22"/>
        </w:rPr>
      </w:pPr>
    </w:p>
    <w:p w:rsidR="008B738B" w:rsidRDefault="00FA1ED3"/>
    <w:sectPr w:rsidR="008B738B" w:rsidSect="00FA4AAC">
      <w:headerReference w:type="default" r:id="rId7"/>
      <w:footerReference w:type="default" r:id="rId8"/>
      <w:pgSz w:w="11906" w:h="16838"/>
      <w:pgMar w:top="3402"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D3C8B" w:rsidRDefault="008D3C8B" w:rsidP="00975E90">
      <w:r>
        <w:separator/>
      </w:r>
    </w:p>
  </w:endnote>
  <w:endnote w:type="continuationSeparator" w:id="1">
    <w:p w:rsidR="008D3C8B" w:rsidRDefault="008D3C8B" w:rsidP="00975E90">
      <w:r>
        <w:continuationSeparator/>
      </w:r>
    </w:p>
  </w:endnote>
</w:endnotes>
</file>

<file path=word/fontTable.xml><?xml version="1.0" encoding="utf-8"?>
<w:fonts xmlns:r="http://schemas.openxmlformats.org/officeDocument/2006/relationships" xmlns:w="http://schemas.openxmlformats.org/wordprocessingml/2006/main">
  <w:font w:name="Tahoma">
    <w:panose1 w:val="020B0604030504040204"/>
    <w:charset w:val="00"/>
    <w:family w:val="swiss"/>
    <w:pitch w:val="variable"/>
    <w:sig w:usb0="61002A87" w:usb1="80000000" w:usb2="00000008" w:usb3="00000000" w:csb0="0001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Monotype Corsiva">
    <w:panose1 w:val="03010101010201010101"/>
    <w:charset w:val="00"/>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943876"/>
      <w:docPartObj>
        <w:docPartGallery w:val="Page Numbers (Bottom of Page)"/>
        <w:docPartUnique/>
      </w:docPartObj>
    </w:sdtPr>
    <w:sdtContent>
      <w:sdt>
        <w:sdtPr>
          <w:id w:val="216747541"/>
          <w:docPartObj>
            <w:docPartGallery w:val="Page Numbers (Top of Page)"/>
            <w:docPartUnique/>
          </w:docPartObj>
        </w:sdtPr>
        <w:sdtContent>
          <w:p w:rsidR="001E48B5" w:rsidRDefault="00AB19D4">
            <w:pPr>
              <w:pStyle w:val="Piedepgina"/>
              <w:jc w:val="center"/>
            </w:pPr>
            <w:r>
              <w:t xml:space="preserve">Página </w:t>
            </w:r>
            <w:r w:rsidR="001B5AC5">
              <w:rPr>
                <w:b/>
              </w:rPr>
              <w:fldChar w:fldCharType="begin"/>
            </w:r>
            <w:r>
              <w:rPr>
                <w:b/>
              </w:rPr>
              <w:instrText>PAGE</w:instrText>
            </w:r>
            <w:r w:rsidR="001B5AC5">
              <w:rPr>
                <w:b/>
              </w:rPr>
              <w:fldChar w:fldCharType="separate"/>
            </w:r>
            <w:r w:rsidR="00FA1ED3">
              <w:rPr>
                <w:b/>
                <w:noProof/>
              </w:rPr>
              <w:t>1</w:t>
            </w:r>
            <w:r w:rsidR="001B5AC5">
              <w:rPr>
                <w:b/>
              </w:rPr>
              <w:fldChar w:fldCharType="end"/>
            </w:r>
            <w:r>
              <w:t xml:space="preserve"> de </w:t>
            </w:r>
            <w:r w:rsidR="001B5AC5">
              <w:rPr>
                <w:b/>
              </w:rPr>
              <w:fldChar w:fldCharType="begin"/>
            </w:r>
            <w:r>
              <w:rPr>
                <w:b/>
              </w:rPr>
              <w:instrText>NUMPAGES</w:instrText>
            </w:r>
            <w:r w:rsidR="001B5AC5">
              <w:rPr>
                <w:b/>
              </w:rPr>
              <w:fldChar w:fldCharType="separate"/>
            </w:r>
            <w:r w:rsidR="00FA1ED3">
              <w:rPr>
                <w:b/>
                <w:noProof/>
              </w:rPr>
              <w:t>15</w:t>
            </w:r>
            <w:r w:rsidR="001B5AC5">
              <w:rPr>
                <w:b/>
              </w:rPr>
              <w:fldChar w:fldCharType="end"/>
            </w:r>
          </w:p>
        </w:sdtContent>
      </w:sdt>
    </w:sdtContent>
  </w:sdt>
  <w:p w:rsidR="001E48B5" w:rsidRDefault="00FA1ED3">
    <w:pPr>
      <w:pStyle w:val="Piedep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D3C8B" w:rsidRDefault="008D3C8B" w:rsidP="00975E90">
      <w:r>
        <w:separator/>
      </w:r>
    </w:p>
  </w:footnote>
  <w:footnote w:type="continuationSeparator" w:id="1">
    <w:p w:rsidR="008D3C8B" w:rsidRDefault="008D3C8B" w:rsidP="00975E90">
      <w:r>
        <w:continuationSeparator/>
      </w:r>
    </w:p>
  </w:footnote>
  <w:footnote w:id="2">
    <w:p w:rsidR="00975E90" w:rsidRDefault="00975E90" w:rsidP="00975E90">
      <w:pPr>
        <w:pStyle w:val="Textonotapie"/>
      </w:pPr>
      <w:r>
        <w:rPr>
          <w:rStyle w:val="Refdenotaalpie"/>
        </w:rPr>
        <w:footnoteRef/>
      </w:r>
      <w:r w:rsidRPr="00975E90">
        <w:rPr>
          <w:lang w:val="es-ES"/>
        </w:rPr>
        <w:t xml:space="preserve"> </w:t>
      </w:r>
      <w:r w:rsidRPr="00975E90">
        <w:rPr>
          <w:rFonts w:ascii="Tahoma" w:hAnsi="Tahoma" w:cs="Tahoma"/>
          <w:sz w:val="16"/>
          <w:szCs w:val="16"/>
          <w:lang w:val="es-ES"/>
        </w:rPr>
        <w:t xml:space="preserve">MORÓN URBINA, Juan Carlos. “Comentarios a la Ley del Procedimiento Administrativo General”. </w:t>
      </w:r>
      <w:proofErr w:type="gramStart"/>
      <w:r w:rsidRPr="00970B21">
        <w:rPr>
          <w:rFonts w:ascii="Tahoma" w:hAnsi="Tahoma" w:cs="Tahoma"/>
          <w:sz w:val="16"/>
          <w:szCs w:val="16"/>
        </w:rPr>
        <w:t>Quinta Edición, Gaceta Jurídica, Lima 2006.</w:t>
      </w:r>
      <w:proofErr w:type="gramEnd"/>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A1ED3" w:rsidRDefault="00FA1ED3" w:rsidP="00FA1ED3">
    <w:pPr>
      <w:pStyle w:val="Encabezado"/>
      <w:jc w:val="center"/>
      <w:rPr>
        <w:rFonts w:ascii="Monotype Corsiva" w:hAnsi="Monotype Corsiva"/>
        <w:b/>
        <w:sz w:val="44"/>
        <w:szCs w:val="44"/>
      </w:rPr>
    </w:pPr>
    <w:r>
      <w:rPr>
        <w:noProof/>
      </w:rPr>
      <w:drawing>
        <wp:anchor distT="0" distB="0" distL="114300" distR="114300" simplePos="0" relativeHeight="251658240" behindDoc="0" locked="0" layoutInCell="1" allowOverlap="1">
          <wp:simplePos x="0" y="0"/>
          <wp:positionH relativeFrom="column">
            <wp:posOffset>-593725</wp:posOffset>
          </wp:positionH>
          <wp:positionV relativeFrom="paragraph">
            <wp:posOffset>-59690</wp:posOffset>
          </wp:positionV>
          <wp:extent cx="6515100" cy="581025"/>
          <wp:effectExtent l="19050" t="0" r="0" b="0"/>
          <wp:wrapSquare wrapText="bothSides"/>
          <wp:docPr id="1" name="Imagen 1" descr="menbre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menbrete"/>
                  <pic:cNvPicPr>
                    <a:picLocks noChangeAspect="1" noChangeArrowheads="1"/>
                  </pic:cNvPicPr>
                </pic:nvPicPr>
                <pic:blipFill>
                  <a:blip r:embed="rId1"/>
                  <a:srcRect/>
                  <a:stretch>
                    <a:fillRect/>
                  </a:stretch>
                </pic:blipFill>
                <pic:spPr bwMode="auto">
                  <a:xfrm>
                    <a:off x="0" y="0"/>
                    <a:ext cx="6515100" cy="581025"/>
                  </a:xfrm>
                  <a:prstGeom prst="rect">
                    <a:avLst/>
                  </a:prstGeom>
                  <a:noFill/>
                </pic:spPr>
              </pic:pic>
            </a:graphicData>
          </a:graphic>
        </wp:anchor>
      </w:drawing>
    </w:r>
  </w:p>
  <w:p w:rsidR="00FA1ED3" w:rsidRDefault="00FA1ED3" w:rsidP="00FA1ED3">
    <w:pPr>
      <w:pStyle w:val="Encabezado"/>
      <w:jc w:val="center"/>
      <w:rPr>
        <w:rFonts w:ascii="Monotype Corsiva" w:hAnsi="Monotype Corsiva"/>
        <w:b/>
        <w:sz w:val="44"/>
        <w:szCs w:val="44"/>
      </w:rPr>
    </w:pPr>
  </w:p>
  <w:p w:rsidR="00FA1ED3" w:rsidRDefault="00FA1ED3" w:rsidP="00FA1ED3">
    <w:pPr>
      <w:pStyle w:val="Encabezado"/>
      <w:jc w:val="center"/>
      <w:rPr>
        <w:rFonts w:ascii="Monotype Corsiva" w:hAnsi="Monotype Corsiva"/>
        <w:b/>
        <w:sz w:val="44"/>
        <w:szCs w:val="44"/>
      </w:rPr>
    </w:pPr>
  </w:p>
  <w:p w:rsidR="00FA1ED3" w:rsidRDefault="00FA1ED3" w:rsidP="00FA1ED3">
    <w:pPr>
      <w:pStyle w:val="Encabezado"/>
      <w:jc w:val="center"/>
      <w:rPr>
        <w:rFonts w:ascii="Tahoma" w:hAnsi="Tahoma" w:cs="Tahoma"/>
        <w:b/>
        <w:sz w:val="44"/>
        <w:szCs w:val="44"/>
      </w:rPr>
    </w:pPr>
    <w:r>
      <w:rPr>
        <w:rFonts w:ascii="Monotype Corsiva" w:hAnsi="Monotype Corsiva"/>
        <w:b/>
        <w:sz w:val="44"/>
        <w:szCs w:val="44"/>
      </w:rPr>
      <w:t xml:space="preserve">Resolución Nº   </w:t>
    </w:r>
    <w:r>
      <w:rPr>
        <w:rFonts w:ascii="Tahoma" w:hAnsi="Tahoma" w:cs="Tahoma"/>
        <w:b/>
        <w:sz w:val="44"/>
        <w:szCs w:val="44"/>
      </w:rPr>
      <w:t>121-2011-TC-S1</w:t>
    </w:r>
  </w:p>
  <w:p w:rsidR="00FA1ED3" w:rsidRDefault="00FA1ED3">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D1A74"/>
    <w:multiLevelType w:val="hybridMultilevel"/>
    <w:tmpl w:val="34645260"/>
    <w:lvl w:ilvl="0" w:tplc="0C0A0017">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1">
    <w:nsid w:val="032B295E"/>
    <w:multiLevelType w:val="hybridMultilevel"/>
    <w:tmpl w:val="8566FEEA"/>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nsid w:val="03B204BB"/>
    <w:multiLevelType w:val="hybridMultilevel"/>
    <w:tmpl w:val="6BDAF488"/>
    <w:lvl w:ilvl="0" w:tplc="A17236FC">
      <w:start w:val="1"/>
      <w:numFmt w:val="decimal"/>
      <w:lvlText w:val="%1."/>
      <w:lvlJc w:val="left"/>
      <w:pPr>
        <w:ind w:left="720" w:hanging="360"/>
      </w:pPr>
      <w:rPr>
        <w:rFonts w:ascii="Tahoma" w:hAnsi="Tahoma" w:cs="Tahoma" w:hint="default"/>
        <w:b/>
        <w:i w:val="0"/>
        <w:sz w:val="21"/>
        <w:szCs w:val="21"/>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3">
    <w:nsid w:val="12C84066"/>
    <w:multiLevelType w:val="hybridMultilevel"/>
    <w:tmpl w:val="1BB2FB86"/>
    <w:lvl w:ilvl="0" w:tplc="0C0A0017">
      <w:start w:val="1"/>
      <w:numFmt w:val="lowerLetter"/>
      <w:lvlText w:val="%1)"/>
      <w:lvlJc w:val="left"/>
      <w:pPr>
        <w:tabs>
          <w:tab w:val="num" w:pos="720"/>
        </w:tabs>
        <w:ind w:left="720" w:hanging="360"/>
      </w:pPr>
      <w:rPr>
        <w:rFont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275A0856">
      <w:start w:val="1"/>
      <w:numFmt w:val="lowerRoman"/>
      <w:lvlText w:val="%4"/>
      <w:lvlJc w:val="left"/>
      <w:pPr>
        <w:tabs>
          <w:tab w:val="num" w:pos="2880"/>
        </w:tabs>
        <w:ind w:left="2880" w:hanging="360"/>
      </w:pPr>
      <w:rPr>
        <w:rFonts w:cs="Times New Roman" w:hint="default"/>
        <w:b w:val="0"/>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131D60A9"/>
    <w:multiLevelType w:val="hybridMultilevel"/>
    <w:tmpl w:val="D9FAF2A4"/>
    <w:lvl w:ilvl="0" w:tplc="AAC2829A">
      <w:start w:val="1"/>
      <w:numFmt w:val="decimal"/>
      <w:lvlText w:val="%1."/>
      <w:lvlJc w:val="left"/>
      <w:pPr>
        <w:tabs>
          <w:tab w:val="num" w:pos="720"/>
        </w:tabs>
        <w:ind w:left="720" w:hanging="360"/>
      </w:pPr>
      <w:rPr>
        <w:rFonts w:hint="default"/>
        <w:b/>
        <w:bCs/>
      </w:rPr>
    </w:lvl>
    <w:lvl w:ilvl="1" w:tplc="64268118">
      <w:start w:val="1"/>
      <w:numFmt w:val="bullet"/>
      <w:lvlText w:val=""/>
      <w:lvlJc w:val="left"/>
      <w:pPr>
        <w:tabs>
          <w:tab w:val="num" w:pos="1440"/>
        </w:tabs>
        <w:ind w:left="1440" w:hanging="360"/>
      </w:pPr>
      <w:rPr>
        <w:rFonts w:ascii="Symbol" w:eastAsia="Times New Roman" w:hAnsi="Symbol" w:hint="default"/>
      </w:rPr>
    </w:lvl>
    <w:lvl w:ilvl="2" w:tplc="0C0A001B">
      <w:start w:val="1"/>
      <w:numFmt w:val="lowerRoman"/>
      <w:lvlText w:val="%3."/>
      <w:lvlJc w:val="right"/>
      <w:pPr>
        <w:tabs>
          <w:tab w:val="num" w:pos="2160"/>
        </w:tabs>
        <w:ind w:left="2160" w:hanging="180"/>
      </w:pPr>
    </w:lvl>
    <w:lvl w:ilvl="3" w:tplc="0C0A000F">
      <w:start w:val="1"/>
      <w:numFmt w:val="decimal"/>
      <w:lvlText w:val="%4."/>
      <w:lvlJc w:val="left"/>
      <w:pPr>
        <w:tabs>
          <w:tab w:val="num" w:pos="2880"/>
        </w:tabs>
        <w:ind w:left="2880" w:hanging="360"/>
      </w:pPr>
    </w:lvl>
    <w:lvl w:ilvl="4" w:tplc="0C0A0019">
      <w:start w:val="1"/>
      <w:numFmt w:val="lowerLetter"/>
      <w:lvlText w:val="%5."/>
      <w:lvlJc w:val="left"/>
      <w:pPr>
        <w:tabs>
          <w:tab w:val="num" w:pos="3600"/>
        </w:tabs>
        <w:ind w:left="3600" w:hanging="360"/>
      </w:pPr>
    </w:lvl>
    <w:lvl w:ilvl="5" w:tplc="0C0A001B">
      <w:start w:val="1"/>
      <w:numFmt w:val="lowerRoman"/>
      <w:lvlText w:val="%6."/>
      <w:lvlJc w:val="right"/>
      <w:pPr>
        <w:tabs>
          <w:tab w:val="num" w:pos="4320"/>
        </w:tabs>
        <w:ind w:left="4320" w:hanging="180"/>
      </w:pPr>
    </w:lvl>
    <w:lvl w:ilvl="6" w:tplc="0C0A000F">
      <w:start w:val="1"/>
      <w:numFmt w:val="decimal"/>
      <w:lvlText w:val="%7."/>
      <w:lvlJc w:val="left"/>
      <w:pPr>
        <w:tabs>
          <w:tab w:val="num" w:pos="5040"/>
        </w:tabs>
        <w:ind w:left="5040" w:hanging="360"/>
      </w:pPr>
    </w:lvl>
    <w:lvl w:ilvl="7" w:tplc="0C0A0019">
      <w:start w:val="1"/>
      <w:numFmt w:val="lowerLetter"/>
      <w:lvlText w:val="%8."/>
      <w:lvlJc w:val="left"/>
      <w:pPr>
        <w:tabs>
          <w:tab w:val="num" w:pos="5760"/>
        </w:tabs>
        <w:ind w:left="5760" w:hanging="360"/>
      </w:pPr>
    </w:lvl>
    <w:lvl w:ilvl="8" w:tplc="0C0A001B">
      <w:start w:val="1"/>
      <w:numFmt w:val="lowerRoman"/>
      <w:lvlText w:val="%9."/>
      <w:lvlJc w:val="right"/>
      <w:pPr>
        <w:tabs>
          <w:tab w:val="num" w:pos="6480"/>
        </w:tabs>
        <w:ind w:left="6480" w:hanging="180"/>
      </w:pPr>
    </w:lvl>
  </w:abstractNum>
  <w:abstractNum w:abstractNumId="5">
    <w:nsid w:val="1E2D5F13"/>
    <w:multiLevelType w:val="hybridMultilevel"/>
    <w:tmpl w:val="4E3A87F8"/>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6">
    <w:nsid w:val="2EE7139F"/>
    <w:multiLevelType w:val="hybridMultilevel"/>
    <w:tmpl w:val="FF5E72C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D536D3"/>
    <w:multiLevelType w:val="hybridMultilevel"/>
    <w:tmpl w:val="32AA2AAC"/>
    <w:lvl w:ilvl="0" w:tplc="1BD07C04">
      <w:start w:val="1"/>
      <w:numFmt w:val="decimal"/>
      <w:lvlText w:val="%1."/>
      <w:lvlJc w:val="left"/>
      <w:pPr>
        <w:ind w:left="645" w:hanging="360"/>
      </w:pPr>
      <w:rPr>
        <w:rFonts w:hint="default"/>
      </w:rPr>
    </w:lvl>
    <w:lvl w:ilvl="1" w:tplc="0C0A0019" w:tentative="1">
      <w:start w:val="1"/>
      <w:numFmt w:val="lowerLetter"/>
      <w:lvlText w:val="%2."/>
      <w:lvlJc w:val="left"/>
      <w:pPr>
        <w:ind w:left="1365" w:hanging="360"/>
      </w:pPr>
    </w:lvl>
    <w:lvl w:ilvl="2" w:tplc="0C0A001B" w:tentative="1">
      <w:start w:val="1"/>
      <w:numFmt w:val="lowerRoman"/>
      <w:lvlText w:val="%3."/>
      <w:lvlJc w:val="right"/>
      <w:pPr>
        <w:ind w:left="2085" w:hanging="180"/>
      </w:pPr>
    </w:lvl>
    <w:lvl w:ilvl="3" w:tplc="0C0A000F" w:tentative="1">
      <w:start w:val="1"/>
      <w:numFmt w:val="decimal"/>
      <w:lvlText w:val="%4."/>
      <w:lvlJc w:val="left"/>
      <w:pPr>
        <w:ind w:left="2805" w:hanging="360"/>
      </w:pPr>
    </w:lvl>
    <w:lvl w:ilvl="4" w:tplc="0C0A0019" w:tentative="1">
      <w:start w:val="1"/>
      <w:numFmt w:val="lowerLetter"/>
      <w:lvlText w:val="%5."/>
      <w:lvlJc w:val="left"/>
      <w:pPr>
        <w:ind w:left="3525" w:hanging="360"/>
      </w:pPr>
    </w:lvl>
    <w:lvl w:ilvl="5" w:tplc="0C0A001B" w:tentative="1">
      <w:start w:val="1"/>
      <w:numFmt w:val="lowerRoman"/>
      <w:lvlText w:val="%6."/>
      <w:lvlJc w:val="right"/>
      <w:pPr>
        <w:ind w:left="4245" w:hanging="180"/>
      </w:pPr>
    </w:lvl>
    <w:lvl w:ilvl="6" w:tplc="0C0A000F" w:tentative="1">
      <w:start w:val="1"/>
      <w:numFmt w:val="decimal"/>
      <w:lvlText w:val="%7."/>
      <w:lvlJc w:val="left"/>
      <w:pPr>
        <w:ind w:left="4965" w:hanging="360"/>
      </w:pPr>
    </w:lvl>
    <w:lvl w:ilvl="7" w:tplc="0C0A0019" w:tentative="1">
      <w:start w:val="1"/>
      <w:numFmt w:val="lowerLetter"/>
      <w:lvlText w:val="%8."/>
      <w:lvlJc w:val="left"/>
      <w:pPr>
        <w:ind w:left="5685" w:hanging="360"/>
      </w:pPr>
    </w:lvl>
    <w:lvl w:ilvl="8" w:tplc="0C0A001B" w:tentative="1">
      <w:start w:val="1"/>
      <w:numFmt w:val="lowerRoman"/>
      <w:lvlText w:val="%9."/>
      <w:lvlJc w:val="right"/>
      <w:pPr>
        <w:ind w:left="6405" w:hanging="180"/>
      </w:pPr>
    </w:lvl>
  </w:abstractNum>
  <w:abstractNum w:abstractNumId="8">
    <w:nsid w:val="33DC30F7"/>
    <w:multiLevelType w:val="hybridMultilevel"/>
    <w:tmpl w:val="6D42E1FE"/>
    <w:lvl w:ilvl="0" w:tplc="0C0A0017">
      <w:start w:val="1"/>
      <w:numFmt w:val="lowerLetter"/>
      <w:lvlText w:val="%1)"/>
      <w:lvlJc w:val="left"/>
      <w:pPr>
        <w:ind w:left="1260" w:hanging="360"/>
      </w:pPr>
    </w:lvl>
    <w:lvl w:ilvl="1" w:tplc="0C0A0019" w:tentative="1">
      <w:start w:val="1"/>
      <w:numFmt w:val="lowerLetter"/>
      <w:lvlText w:val="%2."/>
      <w:lvlJc w:val="left"/>
      <w:pPr>
        <w:ind w:left="1980" w:hanging="360"/>
      </w:pPr>
    </w:lvl>
    <w:lvl w:ilvl="2" w:tplc="0C0A001B" w:tentative="1">
      <w:start w:val="1"/>
      <w:numFmt w:val="lowerRoman"/>
      <w:lvlText w:val="%3."/>
      <w:lvlJc w:val="right"/>
      <w:pPr>
        <w:ind w:left="2700" w:hanging="180"/>
      </w:pPr>
    </w:lvl>
    <w:lvl w:ilvl="3" w:tplc="0C0A000F" w:tentative="1">
      <w:start w:val="1"/>
      <w:numFmt w:val="decimal"/>
      <w:lvlText w:val="%4."/>
      <w:lvlJc w:val="left"/>
      <w:pPr>
        <w:ind w:left="3420" w:hanging="360"/>
      </w:pPr>
    </w:lvl>
    <w:lvl w:ilvl="4" w:tplc="0C0A0019" w:tentative="1">
      <w:start w:val="1"/>
      <w:numFmt w:val="lowerLetter"/>
      <w:lvlText w:val="%5."/>
      <w:lvlJc w:val="left"/>
      <w:pPr>
        <w:ind w:left="4140" w:hanging="360"/>
      </w:pPr>
    </w:lvl>
    <w:lvl w:ilvl="5" w:tplc="0C0A001B" w:tentative="1">
      <w:start w:val="1"/>
      <w:numFmt w:val="lowerRoman"/>
      <w:lvlText w:val="%6."/>
      <w:lvlJc w:val="right"/>
      <w:pPr>
        <w:ind w:left="4860" w:hanging="180"/>
      </w:pPr>
    </w:lvl>
    <w:lvl w:ilvl="6" w:tplc="0C0A000F" w:tentative="1">
      <w:start w:val="1"/>
      <w:numFmt w:val="decimal"/>
      <w:lvlText w:val="%7."/>
      <w:lvlJc w:val="left"/>
      <w:pPr>
        <w:ind w:left="5580" w:hanging="360"/>
      </w:pPr>
    </w:lvl>
    <w:lvl w:ilvl="7" w:tplc="0C0A0019" w:tentative="1">
      <w:start w:val="1"/>
      <w:numFmt w:val="lowerLetter"/>
      <w:lvlText w:val="%8."/>
      <w:lvlJc w:val="left"/>
      <w:pPr>
        <w:ind w:left="6300" w:hanging="360"/>
      </w:pPr>
    </w:lvl>
    <w:lvl w:ilvl="8" w:tplc="0C0A001B" w:tentative="1">
      <w:start w:val="1"/>
      <w:numFmt w:val="lowerRoman"/>
      <w:lvlText w:val="%9."/>
      <w:lvlJc w:val="right"/>
      <w:pPr>
        <w:ind w:left="7020" w:hanging="180"/>
      </w:pPr>
    </w:lvl>
  </w:abstractNum>
  <w:abstractNum w:abstractNumId="9">
    <w:nsid w:val="385F54FE"/>
    <w:multiLevelType w:val="hybridMultilevel"/>
    <w:tmpl w:val="C3622502"/>
    <w:lvl w:ilvl="0" w:tplc="0C0A001B">
      <w:start w:val="1"/>
      <w:numFmt w:val="lowerRoman"/>
      <w:lvlText w:val="%1."/>
      <w:lvlJc w:val="right"/>
      <w:pPr>
        <w:ind w:left="1620" w:hanging="360"/>
      </w:pPr>
    </w:lvl>
    <w:lvl w:ilvl="1" w:tplc="0C0A0019" w:tentative="1">
      <w:start w:val="1"/>
      <w:numFmt w:val="lowerLetter"/>
      <w:lvlText w:val="%2."/>
      <w:lvlJc w:val="left"/>
      <w:pPr>
        <w:ind w:left="2340" w:hanging="360"/>
      </w:pPr>
    </w:lvl>
    <w:lvl w:ilvl="2" w:tplc="0C0A001B" w:tentative="1">
      <w:start w:val="1"/>
      <w:numFmt w:val="lowerRoman"/>
      <w:lvlText w:val="%3."/>
      <w:lvlJc w:val="right"/>
      <w:pPr>
        <w:ind w:left="3060" w:hanging="180"/>
      </w:pPr>
    </w:lvl>
    <w:lvl w:ilvl="3" w:tplc="0C0A000F" w:tentative="1">
      <w:start w:val="1"/>
      <w:numFmt w:val="decimal"/>
      <w:lvlText w:val="%4."/>
      <w:lvlJc w:val="left"/>
      <w:pPr>
        <w:ind w:left="3780" w:hanging="360"/>
      </w:pPr>
    </w:lvl>
    <w:lvl w:ilvl="4" w:tplc="0C0A0019" w:tentative="1">
      <w:start w:val="1"/>
      <w:numFmt w:val="lowerLetter"/>
      <w:lvlText w:val="%5."/>
      <w:lvlJc w:val="left"/>
      <w:pPr>
        <w:ind w:left="4500" w:hanging="360"/>
      </w:pPr>
    </w:lvl>
    <w:lvl w:ilvl="5" w:tplc="0C0A001B" w:tentative="1">
      <w:start w:val="1"/>
      <w:numFmt w:val="lowerRoman"/>
      <w:lvlText w:val="%6."/>
      <w:lvlJc w:val="right"/>
      <w:pPr>
        <w:ind w:left="5220" w:hanging="180"/>
      </w:pPr>
    </w:lvl>
    <w:lvl w:ilvl="6" w:tplc="0C0A000F" w:tentative="1">
      <w:start w:val="1"/>
      <w:numFmt w:val="decimal"/>
      <w:lvlText w:val="%7."/>
      <w:lvlJc w:val="left"/>
      <w:pPr>
        <w:ind w:left="5940" w:hanging="360"/>
      </w:pPr>
    </w:lvl>
    <w:lvl w:ilvl="7" w:tplc="0C0A0019" w:tentative="1">
      <w:start w:val="1"/>
      <w:numFmt w:val="lowerLetter"/>
      <w:lvlText w:val="%8."/>
      <w:lvlJc w:val="left"/>
      <w:pPr>
        <w:ind w:left="6660" w:hanging="360"/>
      </w:pPr>
    </w:lvl>
    <w:lvl w:ilvl="8" w:tplc="0C0A001B" w:tentative="1">
      <w:start w:val="1"/>
      <w:numFmt w:val="lowerRoman"/>
      <w:lvlText w:val="%9."/>
      <w:lvlJc w:val="right"/>
      <w:pPr>
        <w:ind w:left="7380" w:hanging="180"/>
      </w:pPr>
    </w:lvl>
  </w:abstractNum>
  <w:abstractNum w:abstractNumId="10">
    <w:nsid w:val="4DC96DE1"/>
    <w:multiLevelType w:val="hybridMultilevel"/>
    <w:tmpl w:val="9FB68D96"/>
    <w:lvl w:ilvl="0" w:tplc="0C0A0013">
      <w:start w:val="1"/>
      <w:numFmt w:val="upperRoman"/>
      <w:lvlText w:val="%1."/>
      <w:lvlJc w:val="righ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1">
    <w:nsid w:val="516B3781"/>
    <w:multiLevelType w:val="hybridMultilevel"/>
    <w:tmpl w:val="0F906DD4"/>
    <w:lvl w:ilvl="0" w:tplc="D60071BE">
      <w:start w:val="1"/>
      <w:numFmt w:val="decimal"/>
      <w:lvlText w:val="%1."/>
      <w:lvlJc w:val="left"/>
      <w:pPr>
        <w:tabs>
          <w:tab w:val="num" w:pos="1080"/>
        </w:tabs>
        <w:ind w:left="1080" w:hanging="360"/>
      </w:pPr>
      <w:rPr>
        <w:rFonts w:ascii="Tahoma" w:hAnsi="Tahoma" w:cs="Tahoma" w:hint="default"/>
        <w:b/>
        <w:i w:val="0"/>
        <w:sz w:val="22"/>
        <w:szCs w:val="22"/>
      </w:rPr>
    </w:lvl>
    <w:lvl w:ilvl="1" w:tplc="0C0A0001">
      <w:start w:val="1"/>
      <w:numFmt w:val="bullet"/>
      <w:lvlText w:val=""/>
      <w:lvlJc w:val="left"/>
      <w:pPr>
        <w:tabs>
          <w:tab w:val="num" w:pos="1800"/>
        </w:tabs>
        <w:ind w:left="1800" w:hanging="360"/>
      </w:pPr>
      <w:rPr>
        <w:rFonts w:ascii="Symbol" w:hAnsi="Symbol" w:hint="default"/>
        <w:b/>
        <w:sz w:val="20"/>
      </w:rPr>
    </w:lvl>
    <w:lvl w:ilvl="2" w:tplc="7DB4FF3A">
      <w:start w:val="2"/>
      <w:numFmt w:val="lowerLetter"/>
      <w:lvlText w:val="%3."/>
      <w:lvlJc w:val="left"/>
      <w:pPr>
        <w:tabs>
          <w:tab w:val="num" w:pos="2700"/>
        </w:tabs>
        <w:ind w:left="2700" w:hanging="360"/>
      </w:pPr>
      <w:rPr>
        <w:rFonts w:cs="Times New Roman" w:hint="default"/>
        <w:b/>
      </w:rPr>
    </w:lvl>
    <w:lvl w:ilvl="3" w:tplc="A0D0E0DC">
      <w:start w:val="4"/>
      <w:numFmt w:val="decimal"/>
      <w:lvlText w:val="%4."/>
      <w:lvlJc w:val="left"/>
      <w:pPr>
        <w:tabs>
          <w:tab w:val="num" w:pos="3240"/>
        </w:tabs>
        <w:ind w:left="3240" w:hanging="360"/>
      </w:pPr>
      <w:rPr>
        <w:rFonts w:cs="Times New Roman" w:hint="default"/>
      </w:rPr>
    </w:lvl>
    <w:lvl w:ilvl="4" w:tplc="0C0A0019" w:tentative="1">
      <w:start w:val="1"/>
      <w:numFmt w:val="lowerLetter"/>
      <w:lvlText w:val="%5."/>
      <w:lvlJc w:val="left"/>
      <w:pPr>
        <w:tabs>
          <w:tab w:val="num" w:pos="3960"/>
        </w:tabs>
        <w:ind w:left="3960" w:hanging="360"/>
      </w:pPr>
      <w:rPr>
        <w:rFonts w:cs="Times New Roman"/>
      </w:rPr>
    </w:lvl>
    <w:lvl w:ilvl="5" w:tplc="0C0A001B" w:tentative="1">
      <w:start w:val="1"/>
      <w:numFmt w:val="lowerRoman"/>
      <w:lvlText w:val="%6."/>
      <w:lvlJc w:val="right"/>
      <w:pPr>
        <w:tabs>
          <w:tab w:val="num" w:pos="4680"/>
        </w:tabs>
        <w:ind w:left="4680" w:hanging="180"/>
      </w:pPr>
      <w:rPr>
        <w:rFonts w:cs="Times New Roman"/>
      </w:rPr>
    </w:lvl>
    <w:lvl w:ilvl="6" w:tplc="0C0A000F" w:tentative="1">
      <w:start w:val="1"/>
      <w:numFmt w:val="decimal"/>
      <w:lvlText w:val="%7."/>
      <w:lvlJc w:val="left"/>
      <w:pPr>
        <w:tabs>
          <w:tab w:val="num" w:pos="5400"/>
        </w:tabs>
        <w:ind w:left="5400" w:hanging="360"/>
      </w:pPr>
      <w:rPr>
        <w:rFonts w:cs="Times New Roman"/>
      </w:rPr>
    </w:lvl>
    <w:lvl w:ilvl="7" w:tplc="0C0A0019" w:tentative="1">
      <w:start w:val="1"/>
      <w:numFmt w:val="lowerLetter"/>
      <w:lvlText w:val="%8."/>
      <w:lvlJc w:val="left"/>
      <w:pPr>
        <w:tabs>
          <w:tab w:val="num" w:pos="6120"/>
        </w:tabs>
        <w:ind w:left="6120" w:hanging="360"/>
      </w:pPr>
      <w:rPr>
        <w:rFonts w:cs="Times New Roman"/>
      </w:rPr>
    </w:lvl>
    <w:lvl w:ilvl="8" w:tplc="0C0A001B" w:tentative="1">
      <w:start w:val="1"/>
      <w:numFmt w:val="lowerRoman"/>
      <w:lvlText w:val="%9."/>
      <w:lvlJc w:val="right"/>
      <w:pPr>
        <w:tabs>
          <w:tab w:val="num" w:pos="6840"/>
        </w:tabs>
        <w:ind w:left="6840" w:hanging="180"/>
      </w:pPr>
      <w:rPr>
        <w:rFonts w:cs="Times New Roman"/>
      </w:rPr>
    </w:lvl>
  </w:abstractNum>
  <w:abstractNum w:abstractNumId="12">
    <w:nsid w:val="634D41C5"/>
    <w:multiLevelType w:val="hybridMultilevel"/>
    <w:tmpl w:val="A6B05E36"/>
    <w:lvl w:ilvl="0" w:tplc="0C0A001B">
      <w:start w:val="1"/>
      <w:numFmt w:val="lowerRoman"/>
      <w:lvlText w:val="%1."/>
      <w:lvlJc w:val="righ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abstractNum w:abstractNumId="13">
    <w:nsid w:val="7387565F"/>
    <w:multiLevelType w:val="hybridMultilevel"/>
    <w:tmpl w:val="65E209FE"/>
    <w:lvl w:ilvl="0" w:tplc="317E0D8E">
      <w:start w:val="1"/>
      <w:numFmt w:val="decimal"/>
      <w:lvlText w:val="%1."/>
      <w:lvlJc w:val="left"/>
      <w:pPr>
        <w:tabs>
          <w:tab w:val="num" w:pos="760"/>
        </w:tabs>
        <w:ind w:left="760" w:hanging="360"/>
      </w:pPr>
      <w:rPr>
        <w:rFonts w:cs="Times New Roman"/>
        <w:b/>
        <w:i w:val="0"/>
      </w:rPr>
    </w:lvl>
    <w:lvl w:ilvl="1" w:tplc="0C0A0019" w:tentative="1">
      <w:start w:val="1"/>
      <w:numFmt w:val="lowerLetter"/>
      <w:lvlText w:val="%2."/>
      <w:lvlJc w:val="left"/>
      <w:pPr>
        <w:ind w:left="1840" w:hanging="360"/>
      </w:pPr>
      <w:rPr>
        <w:rFonts w:cs="Times New Roman"/>
      </w:rPr>
    </w:lvl>
    <w:lvl w:ilvl="2" w:tplc="0C0A001B" w:tentative="1">
      <w:start w:val="1"/>
      <w:numFmt w:val="lowerRoman"/>
      <w:lvlText w:val="%3."/>
      <w:lvlJc w:val="right"/>
      <w:pPr>
        <w:ind w:left="2560" w:hanging="180"/>
      </w:pPr>
      <w:rPr>
        <w:rFonts w:cs="Times New Roman"/>
      </w:rPr>
    </w:lvl>
    <w:lvl w:ilvl="3" w:tplc="0C0A000F" w:tentative="1">
      <w:start w:val="1"/>
      <w:numFmt w:val="decimal"/>
      <w:lvlText w:val="%4."/>
      <w:lvlJc w:val="left"/>
      <w:pPr>
        <w:ind w:left="3280" w:hanging="360"/>
      </w:pPr>
      <w:rPr>
        <w:rFonts w:cs="Times New Roman"/>
      </w:rPr>
    </w:lvl>
    <w:lvl w:ilvl="4" w:tplc="0C0A0019" w:tentative="1">
      <w:start w:val="1"/>
      <w:numFmt w:val="lowerLetter"/>
      <w:lvlText w:val="%5."/>
      <w:lvlJc w:val="left"/>
      <w:pPr>
        <w:ind w:left="4000" w:hanging="360"/>
      </w:pPr>
      <w:rPr>
        <w:rFonts w:cs="Times New Roman"/>
      </w:rPr>
    </w:lvl>
    <w:lvl w:ilvl="5" w:tplc="0C0A001B" w:tentative="1">
      <w:start w:val="1"/>
      <w:numFmt w:val="lowerRoman"/>
      <w:lvlText w:val="%6."/>
      <w:lvlJc w:val="right"/>
      <w:pPr>
        <w:ind w:left="4720" w:hanging="180"/>
      </w:pPr>
      <w:rPr>
        <w:rFonts w:cs="Times New Roman"/>
      </w:rPr>
    </w:lvl>
    <w:lvl w:ilvl="6" w:tplc="0C0A000F" w:tentative="1">
      <w:start w:val="1"/>
      <w:numFmt w:val="decimal"/>
      <w:lvlText w:val="%7."/>
      <w:lvlJc w:val="left"/>
      <w:pPr>
        <w:ind w:left="5440" w:hanging="360"/>
      </w:pPr>
      <w:rPr>
        <w:rFonts w:cs="Times New Roman"/>
      </w:rPr>
    </w:lvl>
    <w:lvl w:ilvl="7" w:tplc="0C0A0019" w:tentative="1">
      <w:start w:val="1"/>
      <w:numFmt w:val="lowerLetter"/>
      <w:lvlText w:val="%8."/>
      <w:lvlJc w:val="left"/>
      <w:pPr>
        <w:ind w:left="6160" w:hanging="360"/>
      </w:pPr>
      <w:rPr>
        <w:rFonts w:cs="Times New Roman"/>
      </w:rPr>
    </w:lvl>
    <w:lvl w:ilvl="8" w:tplc="0C0A001B" w:tentative="1">
      <w:start w:val="1"/>
      <w:numFmt w:val="lowerRoman"/>
      <w:lvlText w:val="%9."/>
      <w:lvlJc w:val="right"/>
      <w:pPr>
        <w:ind w:left="6880" w:hanging="180"/>
      </w:pPr>
      <w:rPr>
        <w:rFonts w:cs="Times New Roman"/>
      </w:rPr>
    </w:lvl>
  </w:abstractNum>
  <w:abstractNum w:abstractNumId="14">
    <w:nsid w:val="7EF1424C"/>
    <w:multiLevelType w:val="hybridMultilevel"/>
    <w:tmpl w:val="4524D7C6"/>
    <w:lvl w:ilvl="0" w:tplc="0C0A0017">
      <w:start w:val="1"/>
      <w:numFmt w:val="lowerLetter"/>
      <w:lvlText w:val="%1)"/>
      <w:lvlJc w:val="left"/>
      <w:pPr>
        <w:ind w:left="1287" w:hanging="360"/>
      </w:pPr>
    </w:lvl>
    <w:lvl w:ilvl="1" w:tplc="0C0A0019" w:tentative="1">
      <w:start w:val="1"/>
      <w:numFmt w:val="lowerLetter"/>
      <w:lvlText w:val="%2."/>
      <w:lvlJc w:val="left"/>
      <w:pPr>
        <w:ind w:left="2007" w:hanging="360"/>
      </w:pPr>
    </w:lvl>
    <w:lvl w:ilvl="2" w:tplc="0C0A001B" w:tentative="1">
      <w:start w:val="1"/>
      <w:numFmt w:val="lowerRoman"/>
      <w:lvlText w:val="%3."/>
      <w:lvlJc w:val="right"/>
      <w:pPr>
        <w:ind w:left="2727" w:hanging="180"/>
      </w:pPr>
    </w:lvl>
    <w:lvl w:ilvl="3" w:tplc="0C0A000F" w:tentative="1">
      <w:start w:val="1"/>
      <w:numFmt w:val="decimal"/>
      <w:lvlText w:val="%4."/>
      <w:lvlJc w:val="left"/>
      <w:pPr>
        <w:ind w:left="3447" w:hanging="360"/>
      </w:pPr>
    </w:lvl>
    <w:lvl w:ilvl="4" w:tplc="0C0A0019" w:tentative="1">
      <w:start w:val="1"/>
      <w:numFmt w:val="lowerLetter"/>
      <w:lvlText w:val="%5."/>
      <w:lvlJc w:val="left"/>
      <w:pPr>
        <w:ind w:left="4167" w:hanging="360"/>
      </w:pPr>
    </w:lvl>
    <w:lvl w:ilvl="5" w:tplc="0C0A001B" w:tentative="1">
      <w:start w:val="1"/>
      <w:numFmt w:val="lowerRoman"/>
      <w:lvlText w:val="%6."/>
      <w:lvlJc w:val="right"/>
      <w:pPr>
        <w:ind w:left="4887" w:hanging="180"/>
      </w:pPr>
    </w:lvl>
    <w:lvl w:ilvl="6" w:tplc="0C0A000F" w:tentative="1">
      <w:start w:val="1"/>
      <w:numFmt w:val="decimal"/>
      <w:lvlText w:val="%7."/>
      <w:lvlJc w:val="left"/>
      <w:pPr>
        <w:ind w:left="5607" w:hanging="360"/>
      </w:pPr>
    </w:lvl>
    <w:lvl w:ilvl="7" w:tplc="0C0A0019" w:tentative="1">
      <w:start w:val="1"/>
      <w:numFmt w:val="lowerLetter"/>
      <w:lvlText w:val="%8."/>
      <w:lvlJc w:val="left"/>
      <w:pPr>
        <w:ind w:left="6327" w:hanging="360"/>
      </w:pPr>
    </w:lvl>
    <w:lvl w:ilvl="8" w:tplc="0C0A001B" w:tentative="1">
      <w:start w:val="1"/>
      <w:numFmt w:val="lowerRoman"/>
      <w:lvlText w:val="%9."/>
      <w:lvlJc w:val="right"/>
      <w:pPr>
        <w:ind w:left="7047" w:hanging="180"/>
      </w:pPr>
    </w:lvl>
  </w:abstractNum>
  <w:num w:numId="1">
    <w:abstractNumId w:val="10"/>
  </w:num>
  <w:num w:numId="2">
    <w:abstractNumId w:val="11"/>
  </w:num>
  <w:num w:numId="3">
    <w:abstractNumId w:val="3"/>
  </w:num>
  <w:num w:numId="4">
    <w:abstractNumId w:val="1"/>
  </w:num>
  <w:num w:numId="5">
    <w:abstractNumId w:val="4"/>
  </w:num>
  <w:num w:numId="6">
    <w:abstractNumId w:val="8"/>
  </w:num>
  <w:num w:numId="7">
    <w:abstractNumId w:val="9"/>
  </w:num>
  <w:num w:numId="8">
    <w:abstractNumId w:val="0"/>
  </w:num>
  <w:num w:numId="9">
    <w:abstractNumId w:val="7"/>
  </w:num>
  <w:num w:numId="10">
    <w:abstractNumId w:val="13"/>
  </w:num>
  <w:num w:numId="11">
    <w:abstractNumId w:val="2"/>
  </w:num>
  <w:num w:numId="12">
    <w:abstractNumId w:val="12"/>
  </w:num>
  <w:num w:numId="13">
    <w:abstractNumId w:val="14"/>
  </w:num>
  <w:num w:numId="14">
    <w:abstractNumId w:val="5"/>
  </w:num>
  <w:num w:numId="15">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08"/>
  <w:hyphenationZone w:val="425"/>
  <w:characterSpacingControl w:val="doNotCompress"/>
  <w:hdrShapeDefaults>
    <o:shapedefaults v:ext="edit" spidmax="4098"/>
  </w:hdrShapeDefaults>
  <w:footnotePr>
    <w:footnote w:id="0"/>
    <w:footnote w:id="1"/>
  </w:footnotePr>
  <w:endnotePr>
    <w:endnote w:id="0"/>
    <w:endnote w:id="1"/>
  </w:endnotePr>
  <w:compat/>
  <w:rsids>
    <w:rsidRoot w:val="00975E90"/>
    <w:rsid w:val="001B5AC5"/>
    <w:rsid w:val="002708F7"/>
    <w:rsid w:val="002D7417"/>
    <w:rsid w:val="005E338F"/>
    <w:rsid w:val="005F0E2E"/>
    <w:rsid w:val="008D3C8B"/>
    <w:rsid w:val="009042C5"/>
    <w:rsid w:val="00975E90"/>
    <w:rsid w:val="00AB19D4"/>
    <w:rsid w:val="00CD7638"/>
    <w:rsid w:val="00F36EF9"/>
    <w:rsid w:val="00FA1ED3"/>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75E90"/>
    <w:pPr>
      <w:spacing w:after="0" w:line="240" w:lineRule="auto"/>
    </w:pPr>
    <w:rPr>
      <w:rFonts w:ascii="Times New Roman" w:eastAsia="Times New Roman" w:hAnsi="Times New Roman" w:cs="Times New Roman"/>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3">
    <w:name w:val="Body Text 3"/>
    <w:basedOn w:val="Normal"/>
    <w:link w:val="Textoindependiente3Car"/>
    <w:rsid w:val="00975E90"/>
    <w:pPr>
      <w:spacing w:after="120"/>
    </w:pPr>
    <w:rPr>
      <w:sz w:val="16"/>
      <w:szCs w:val="16"/>
      <w:lang w:val="es-PE"/>
    </w:rPr>
  </w:style>
  <w:style w:type="character" w:customStyle="1" w:styleId="Textoindependiente3Car">
    <w:name w:val="Texto independiente 3 Car"/>
    <w:basedOn w:val="Fuentedeprrafopredeter"/>
    <w:link w:val="Textoindependiente3"/>
    <w:rsid w:val="00975E90"/>
    <w:rPr>
      <w:rFonts w:ascii="Times New Roman" w:eastAsia="Times New Roman" w:hAnsi="Times New Roman" w:cs="Times New Roman"/>
      <w:sz w:val="16"/>
      <w:szCs w:val="16"/>
      <w:lang w:val="es-PE" w:eastAsia="es-ES"/>
    </w:rPr>
  </w:style>
  <w:style w:type="paragraph" w:customStyle="1" w:styleId="Textoindependiente21">
    <w:name w:val="Texto independiente 21"/>
    <w:basedOn w:val="Normal"/>
    <w:rsid w:val="00975E90"/>
    <w:pPr>
      <w:jc w:val="both"/>
    </w:pPr>
    <w:rPr>
      <w:rFonts w:ascii="Tahoma" w:hAnsi="Tahoma"/>
      <w:sz w:val="22"/>
      <w:szCs w:val="20"/>
    </w:rPr>
  </w:style>
  <w:style w:type="paragraph" w:styleId="Prrafodelista">
    <w:name w:val="List Paragraph"/>
    <w:basedOn w:val="Normal"/>
    <w:uiPriority w:val="34"/>
    <w:qFormat/>
    <w:rsid w:val="00975E90"/>
    <w:pPr>
      <w:widowControl w:val="0"/>
      <w:suppressAutoHyphens/>
      <w:ind w:left="708"/>
    </w:pPr>
    <w:rPr>
      <w:szCs w:val="20"/>
      <w:lang w:val="es-ES_tradnl"/>
    </w:rPr>
  </w:style>
  <w:style w:type="paragraph" w:styleId="Textoindependiente">
    <w:name w:val="Body Text"/>
    <w:basedOn w:val="Normal"/>
    <w:link w:val="TextoindependienteCar"/>
    <w:uiPriority w:val="99"/>
    <w:unhideWhenUsed/>
    <w:rsid w:val="00975E90"/>
    <w:pPr>
      <w:spacing w:after="120"/>
    </w:pPr>
  </w:style>
  <w:style w:type="character" w:customStyle="1" w:styleId="TextoindependienteCar">
    <w:name w:val="Texto independiente Car"/>
    <w:basedOn w:val="Fuentedeprrafopredeter"/>
    <w:link w:val="Textoindependiente"/>
    <w:uiPriority w:val="99"/>
    <w:rsid w:val="00975E90"/>
    <w:rPr>
      <w:rFonts w:ascii="Times New Roman" w:eastAsia="Times New Roman" w:hAnsi="Times New Roman" w:cs="Times New Roman"/>
      <w:sz w:val="24"/>
      <w:szCs w:val="24"/>
      <w:lang w:eastAsia="es-ES"/>
    </w:rPr>
  </w:style>
  <w:style w:type="paragraph" w:styleId="Textonotapie">
    <w:name w:val="footnote text"/>
    <w:aliases w:val="Texto nota pie1 Car,Car Car Car,Car,Car Car Car Car Car,Car Car,Texto nota pie1,Car4,Texto independiente1, Car,Texto independiente2, Car4,Body Text"/>
    <w:basedOn w:val="Normal"/>
    <w:link w:val="TextonotapieCar"/>
    <w:rsid w:val="00975E90"/>
    <w:rPr>
      <w:rFonts w:eastAsia="Calibri"/>
      <w:sz w:val="20"/>
      <w:szCs w:val="20"/>
      <w:lang w:val="en-US"/>
    </w:rPr>
  </w:style>
  <w:style w:type="character" w:customStyle="1" w:styleId="TextonotapieCar">
    <w:name w:val="Texto nota pie Car"/>
    <w:aliases w:val="Texto nota pie1 Car Car,Car Car Car Car,Car Car1,Car Car Car Car Car Car,Car Car Car1,Texto nota pie1 Car1,Car4 Car,Texto independiente1 Car, Car Car,Texto independiente2 Car, Car4 Car,Body Text Car"/>
    <w:basedOn w:val="Fuentedeprrafopredeter"/>
    <w:link w:val="Textonotapie"/>
    <w:rsid w:val="00975E90"/>
    <w:rPr>
      <w:rFonts w:ascii="Times New Roman" w:eastAsia="Calibri" w:hAnsi="Times New Roman" w:cs="Times New Roman"/>
      <w:sz w:val="20"/>
      <w:szCs w:val="20"/>
      <w:lang w:val="en-US" w:eastAsia="es-ES"/>
    </w:rPr>
  </w:style>
  <w:style w:type="character" w:styleId="Refdenotaalpie">
    <w:name w:val="footnote reference"/>
    <w:basedOn w:val="Fuentedeprrafopredeter"/>
    <w:rsid w:val="00975E90"/>
    <w:rPr>
      <w:rFonts w:cs="Times New Roman"/>
      <w:vertAlign w:val="superscript"/>
    </w:rPr>
  </w:style>
  <w:style w:type="paragraph" w:styleId="Piedepgina">
    <w:name w:val="footer"/>
    <w:basedOn w:val="Normal"/>
    <w:link w:val="PiedepginaCar"/>
    <w:uiPriority w:val="99"/>
    <w:unhideWhenUsed/>
    <w:rsid w:val="00975E90"/>
    <w:pPr>
      <w:tabs>
        <w:tab w:val="center" w:pos="4252"/>
        <w:tab w:val="right" w:pos="8504"/>
      </w:tabs>
    </w:pPr>
  </w:style>
  <w:style w:type="character" w:customStyle="1" w:styleId="PiedepginaCar">
    <w:name w:val="Pie de página Car"/>
    <w:basedOn w:val="Fuentedeprrafopredeter"/>
    <w:link w:val="Piedepgina"/>
    <w:uiPriority w:val="99"/>
    <w:rsid w:val="00975E90"/>
    <w:rPr>
      <w:rFonts w:ascii="Times New Roman" w:eastAsia="Times New Roman" w:hAnsi="Times New Roman" w:cs="Times New Roman"/>
      <w:sz w:val="24"/>
      <w:szCs w:val="24"/>
      <w:lang w:eastAsia="es-ES"/>
    </w:rPr>
  </w:style>
  <w:style w:type="paragraph" w:customStyle="1" w:styleId="Prrafodelista1">
    <w:name w:val="Párrafo de lista1"/>
    <w:basedOn w:val="Normal"/>
    <w:rsid w:val="00975E90"/>
    <w:pPr>
      <w:widowControl w:val="0"/>
      <w:suppressAutoHyphens/>
      <w:ind w:left="708"/>
    </w:pPr>
    <w:rPr>
      <w:rFonts w:eastAsia="Calibri"/>
      <w:szCs w:val="20"/>
      <w:lang w:val="es-ES_tradnl"/>
    </w:rPr>
  </w:style>
  <w:style w:type="table" w:styleId="Tablaconcuadrcula">
    <w:name w:val="Table Grid"/>
    <w:basedOn w:val="Tablanormal"/>
    <w:uiPriority w:val="59"/>
    <w:rsid w:val="00975E90"/>
    <w:pPr>
      <w:spacing w:after="0" w:line="240" w:lineRule="auto"/>
    </w:pPr>
    <w:rPr>
      <w:rFonts w:ascii="Times New Roman" w:eastAsia="Times New Roman" w:hAnsi="Times New Roman" w:cs="Times New Roman"/>
      <w:sz w:val="20"/>
      <w:szCs w:val="20"/>
      <w:lang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tulo">
    <w:name w:val="Title"/>
    <w:basedOn w:val="Normal"/>
    <w:next w:val="Normal"/>
    <w:link w:val="TtuloCar"/>
    <w:uiPriority w:val="10"/>
    <w:qFormat/>
    <w:rsid w:val="002D7417"/>
    <w:pPr>
      <w:suppressAutoHyphens/>
      <w:spacing w:before="240" w:after="60"/>
      <w:jc w:val="center"/>
      <w:outlineLvl w:val="0"/>
    </w:pPr>
    <w:rPr>
      <w:rFonts w:ascii="Cambria" w:hAnsi="Cambria"/>
      <w:b/>
      <w:bCs/>
      <w:kern w:val="28"/>
      <w:sz w:val="32"/>
      <w:szCs w:val="32"/>
      <w:lang w:val="es-ES_tradnl" w:eastAsia="es-PE"/>
    </w:rPr>
  </w:style>
  <w:style w:type="character" w:customStyle="1" w:styleId="TtuloCar">
    <w:name w:val="Título Car"/>
    <w:basedOn w:val="Fuentedeprrafopredeter"/>
    <w:link w:val="Ttulo"/>
    <w:uiPriority w:val="10"/>
    <w:rsid w:val="002D7417"/>
    <w:rPr>
      <w:rFonts w:ascii="Cambria" w:eastAsia="Times New Roman" w:hAnsi="Cambria" w:cs="Times New Roman"/>
      <w:b/>
      <w:bCs/>
      <w:kern w:val="28"/>
      <w:sz w:val="32"/>
      <w:szCs w:val="32"/>
      <w:lang w:val="es-ES_tradnl" w:eastAsia="es-PE"/>
    </w:rPr>
  </w:style>
  <w:style w:type="paragraph" w:styleId="Encabezado">
    <w:name w:val="header"/>
    <w:aliases w:val="encabezado,Encabezado Car Car Car Car,Encabezado Car Car,maria,Encabezado1,h"/>
    <w:basedOn w:val="Normal"/>
    <w:link w:val="EncabezadoCar"/>
    <w:semiHidden/>
    <w:unhideWhenUsed/>
    <w:rsid w:val="00FA1ED3"/>
    <w:pPr>
      <w:tabs>
        <w:tab w:val="center" w:pos="4252"/>
        <w:tab w:val="right" w:pos="8504"/>
      </w:tabs>
    </w:pPr>
  </w:style>
  <w:style w:type="character" w:customStyle="1" w:styleId="EncabezadoCar">
    <w:name w:val="Encabezado Car"/>
    <w:aliases w:val="encabezado Car,Encabezado Car Car Car Car Car,Encabezado Car Car Car,maria Car,Encabezado1 Car,h Car"/>
    <w:basedOn w:val="Fuentedeprrafopredeter"/>
    <w:link w:val="Encabezado"/>
    <w:semiHidden/>
    <w:rsid w:val="00FA1ED3"/>
    <w:rPr>
      <w:rFonts w:ascii="Times New Roman" w:eastAsia="Times New Roman" w:hAnsi="Times New Roman" w:cs="Times New Roman"/>
      <w:sz w:val="24"/>
      <w:szCs w:val="24"/>
      <w:lang w:eastAsia="es-ES"/>
    </w:rPr>
  </w:style>
</w:styles>
</file>

<file path=word/webSettings.xml><?xml version="1.0" encoding="utf-8"?>
<w:webSettings xmlns:r="http://schemas.openxmlformats.org/officeDocument/2006/relationships" xmlns:w="http://schemas.openxmlformats.org/wordprocessingml/2006/main">
  <w:divs>
    <w:div w:id="1852790888">
      <w:bodyDiv w:val="1"/>
      <w:marLeft w:val="0"/>
      <w:marRight w:val="0"/>
      <w:marTop w:val="0"/>
      <w:marBottom w:val="0"/>
      <w:divBdr>
        <w:top w:val="none" w:sz="0" w:space="0" w:color="auto"/>
        <w:left w:val="none" w:sz="0" w:space="0" w:color="auto"/>
        <w:bottom w:val="none" w:sz="0" w:space="0" w:color="auto"/>
        <w:right w:val="none" w:sz="0" w:space="0" w:color="auto"/>
      </w:divBdr>
    </w:div>
    <w:div w:id="2142653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15</Pages>
  <Words>5799</Words>
  <Characters>31897</Characters>
  <Application>Microsoft Office Word</Application>
  <DocSecurity>0</DocSecurity>
  <Lines>265</Lines>
  <Paragraphs>75</Paragraphs>
  <ScaleCrop>false</ScaleCrop>
  <Company/>
  <LinksUpToDate>false</LinksUpToDate>
  <CharactersWithSpaces>37621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jtorrico</dc:creator>
  <cp:keywords/>
  <dc:description/>
  <cp:lastModifiedBy>bcaceres</cp:lastModifiedBy>
  <cp:revision>6</cp:revision>
  <cp:lastPrinted>2011-01-28T14:21:00Z</cp:lastPrinted>
  <dcterms:created xsi:type="dcterms:W3CDTF">2011-01-28T14:10:00Z</dcterms:created>
  <dcterms:modified xsi:type="dcterms:W3CDTF">2011-02-08T15:52:00Z</dcterms:modified>
</cp:coreProperties>
</file>